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9E2F2D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C4BD0">
        <w:rPr>
          <w:color w:val="12284C" w:themeColor="text2"/>
          <w:sz w:val="28"/>
          <w:szCs w:val="36"/>
        </w:rPr>
        <w:t>College Accounting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C4BD0">
        <w:rPr>
          <w:color w:val="12284C" w:themeColor="text2"/>
          <w:sz w:val="28"/>
          <w:szCs w:val="36"/>
        </w:rPr>
        <w:t>33109</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C4BD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523E484" w14:textId="77777777" w:rsidR="006C4BD0" w:rsidRDefault="006C4BD0" w:rsidP="006C4BD0">
      <w:pPr>
        <w:spacing w:before="0" w:after="0"/>
        <w:rPr>
          <w:rStyle w:val="Regular"/>
        </w:rPr>
      </w:pPr>
    </w:p>
    <w:p w14:paraId="1A093E5C" w14:textId="77777777" w:rsidR="006C4BD0" w:rsidRDefault="009C4EE4" w:rsidP="006C4BD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C4BD0" w:rsidRPr="006C4BD0">
        <w:rPr>
          <w:rFonts w:ascii="Open Sans Light" w:eastAsia="Times New Roman" w:hAnsi="Open Sans Light" w:cs="Open Sans Light"/>
          <w:color w:val="000000"/>
          <w:kern w:val="0"/>
          <w:sz w:val="20"/>
          <w:szCs w:val="20"/>
          <w14:ligatures w14:val="none"/>
        </w:rPr>
        <w:t>Finance (52.081)</w:t>
      </w:r>
    </w:p>
    <w:p w14:paraId="6988945A" w14:textId="77777777" w:rsidR="006C4BD0" w:rsidRDefault="006C4BD0" w:rsidP="006C4BD0">
      <w:pPr>
        <w:spacing w:before="0" w:after="0"/>
        <w:rPr>
          <w:rFonts w:ascii="Open Sans Light" w:eastAsia="Times New Roman" w:hAnsi="Open Sans Light" w:cs="Open Sans Light"/>
          <w:color w:val="000000"/>
          <w:kern w:val="0"/>
          <w:sz w:val="20"/>
          <w:szCs w:val="20"/>
          <w14:ligatures w14:val="none"/>
        </w:rPr>
      </w:pPr>
    </w:p>
    <w:p w14:paraId="6C4B7FFB" w14:textId="155B7E5A" w:rsidR="006C4BD0" w:rsidRPr="006C4BD0" w:rsidRDefault="009C4EE4" w:rsidP="006C4BD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C4BD0" w:rsidRPr="006C4BD0">
        <w:rPr>
          <w:rFonts w:ascii="Open Sans Light" w:eastAsia="Times New Roman" w:hAnsi="Open Sans Light" w:cs="Open Sans Light"/>
          <w:b/>
          <w:bCs/>
          <w:color w:val="000000"/>
          <w:kern w:val="0"/>
          <w:sz w:val="20"/>
          <w:szCs w:val="20"/>
          <w14:ligatures w14:val="none"/>
        </w:rPr>
        <w:t xml:space="preserve">Application Level - Accounting Strand: </w:t>
      </w:r>
      <w:r w:rsidR="006C4BD0" w:rsidRPr="006C4BD0">
        <w:rPr>
          <w:rFonts w:ascii="Open Sans Light" w:eastAsia="Times New Roman" w:hAnsi="Open Sans Light" w:cs="Open Sans Light"/>
          <w:color w:val="000000"/>
          <w:kern w:val="0"/>
          <w:sz w:val="20"/>
          <w:szCs w:val="20"/>
          <w14:ligatures w14:val="none"/>
        </w:rPr>
        <w:t>This course includes financial accounting, managerial accounting, and financial statement analysis topics. Compared to the traditional, standalone financial accounting and managerial accounting courses, this course encompasses more topics and learning outcomes than the traditional financial accounting course, and at least a quarter of the topics and learning outcomes in a traditional managerial course.</w:t>
      </w:r>
    </w:p>
    <w:p w14:paraId="4FBDB71A" w14:textId="07544005" w:rsidR="009C4EE4" w:rsidRPr="006C4BD0" w:rsidRDefault="009C4EE4" w:rsidP="006C4BD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BD6C3BC" w:rsidR="009C4EE4" w:rsidRPr="003F2990" w:rsidRDefault="009C4EE4" w:rsidP="00047F95">
      <w:pPr>
        <w:pStyle w:val="Heading2"/>
      </w:pPr>
      <w:r w:rsidRPr="003F2990">
        <w:t>Benchmark 1:</w:t>
      </w:r>
      <w:r w:rsidR="00B30998" w:rsidRPr="003F2990">
        <w:t xml:space="preserve"> </w:t>
      </w:r>
      <w:sdt>
        <w:sdtPr>
          <w:id w:val="-1253581834"/>
          <w:placeholder>
            <w:docPart w:val="86136ED8C5AB45238B8F55AB75DD2ED4"/>
          </w:placeholder>
        </w:sdtPr>
        <w:sdtEndPr/>
        <w:sdtContent>
          <w:r w:rsidR="006C4BD0" w:rsidRPr="006C4BD0">
            <w:t>Introduction to Accounting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C4BD0" w:rsidRPr="009F713B" w14:paraId="3475336C"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C4BD0" w:rsidRPr="00334670" w:rsidRDefault="006C4BD0" w:rsidP="006C4BD0">
            <w:pPr>
              <w:pStyle w:val="TableLeftcolumn"/>
            </w:pPr>
            <w:r w:rsidRPr="00334670">
              <w:t>1.1</w:t>
            </w:r>
          </w:p>
        </w:tc>
        <w:tc>
          <w:tcPr>
            <w:tcW w:w="8200" w:type="dxa"/>
            <w:tcBorders>
              <w:top w:val="nil"/>
              <w:left w:val="nil"/>
              <w:bottom w:val="nil"/>
              <w:right w:val="nil"/>
            </w:tcBorders>
            <w:shd w:val="clear" w:color="auto" w:fill="auto"/>
            <w:vAlign w:val="bottom"/>
          </w:tcPr>
          <w:p w14:paraId="4F3DC746" w14:textId="5B94A4DE" w:rsidR="006C4BD0" w:rsidRPr="00D53139" w:rsidRDefault="006C4BD0" w:rsidP="006C4BD0">
            <w:pPr>
              <w:pStyle w:val="Tabletext"/>
            </w:pPr>
            <w:r>
              <w:rPr>
                <w:rFonts w:ascii="Open Sans Light" w:hAnsi="Open Sans Light" w:cs="Open Sans Light"/>
                <w:color w:val="000000"/>
              </w:rPr>
              <w:t>Explain how and why the conceptual framework of accounting and generally accepted accounting principles provides guidance and structure for preparing financial statements.</w:t>
            </w:r>
          </w:p>
        </w:tc>
        <w:tc>
          <w:tcPr>
            <w:tcW w:w="877" w:type="dxa"/>
            <w:tcBorders>
              <w:bottom w:val="single" w:sz="8" w:space="0" w:color="auto"/>
            </w:tcBorders>
            <w:vAlign w:val="bottom"/>
          </w:tcPr>
          <w:p w14:paraId="1012989B" w14:textId="5DBA88DF" w:rsidR="006C4BD0" w:rsidRPr="00ED28EF" w:rsidRDefault="006C4BD0" w:rsidP="006C4BD0">
            <w:pPr>
              <w:pStyle w:val="Tabletext"/>
              <w:rPr>
                <w:rStyle w:val="Formentry12ptopunderline"/>
              </w:rPr>
            </w:pPr>
          </w:p>
        </w:tc>
      </w:tr>
      <w:tr w:rsidR="006C4BD0" w:rsidRPr="009F713B" w14:paraId="422523F4" w14:textId="77777777" w:rsidTr="00D050ED">
        <w:tc>
          <w:tcPr>
            <w:tcW w:w="705" w:type="dxa"/>
          </w:tcPr>
          <w:p w14:paraId="0F428A28" w14:textId="77777777" w:rsidR="006C4BD0" w:rsidRPr="00334670" w:rsidRDefault="006C4BD0" w:rsidP="006C4BD0">
            <w:pPr>
              <w:pStyle w:val="TableLeftcolumn"/>
            </w:pPr>
            <w:r w:rsidRPr="00334670">
              <w:t>1.2</w:t>
            </w:r>
          </w:p>
        </w:tc>
        <w:tc>
          <w:tcPr>
            <w:tcW w:w="8200" w:type="dxa"/>
            <w:tcBorders>
              <w:top w:val="nil"/>
              <w:left w:val="nil"/>
              <w:bottom w:val="nil"/>
              <w:right w:val="nil"/>
            </w:tcBorders>
            <w:shd w:val="clear" w:color="auto" w:fill="auto"/>
            <w:vAlign w:val="bottom"/>
          </w:tcPr>
          <w:p w14:paraId="06BAE4CB" w14:textId="7085C7D7" w:rsidR="006C4BD0" w:rsidRPr="00334670" w:rsidRDefault="006C4BD0" w:rsidP="006C4BD0">
            <w:pPr>
              <w:pStyle w:val="Tabletext"/>
            </w:pPr>
            <w:r>
              <w:rPr>
                <w:rFonts w:ascii="Open Sans Light" w:hAnsi="Open Sans Light" w:cs="Open Sans Light"/>
                <w:color w:val="000000"/>
              </w:rPr>
              <w:t>Describe the information provided in each financial statement and how the statements articulate with each other.</w:t>
            </w:r>
          </w:p>
        </w:tc>
        <w:tc>
          <w:tcPr>
            <w:tcW w:w="877" w:type="dxa"/>
            <w:tcBorders>
              <w:top w:val="single" w:sz="8" w:space="0" w:color="auto"/>
              <w:bottom w:val="single" w:sz="8" w:space="0" w:color="auto"/>
            </w:tcBorders>
            <w:vAlign w:val="bottom"/>
          </w:tcPr>
          <w:p w14:paraId="4AE8056E" w14:textId="5821B5D7" w:rsidR="006C4BD0" w:rsidRPr="00ED28EF" w:rsidRDefault="006C4BD0" w:rsidP="006C4BD0">
            <w:pPr>
              <w:pStyle w:val="Tabletext"/>
              <w:rPr>
                <w:rStyle w:val="Formentry12ptopunderline"/>
              </w:rPr>
            </w:pPr>
          </w:p>
        </w:tc>
      </w:tr>
      <w:tr w:rsidR="006C4BD0" w:rsidRPr="009F713B" w14:paraId="0F857F0B"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C4BD0" w:rsidRPr="00334670" w:rsidRDefault="006C4BD0" w:rsidP="006C4BD0">
            <w:pPr>
              <w:pStyle w:val="TableLeftcolumn"/>
            </w:pPr>
            <w:r w:rsidRPr="00334670">
              <w:t>1.3</w:t>
            </w:r>
          </w:p>
        </w:tc>
        <w:tc>
          <w:tcPr>
            <w:tcW w:w="8200" w:type="dxa"/>
            <w:tcBorders>
              <w:top w:val="nil"/>
              <w:left w:val="nil"/>
              <w:bottom w:val="nil"/>
              <w:right w:val="nil"/>
            </w:tcBorders>
            <w:shd w:val="clear" w:color="auto" w:fill="auto"/>
            <w:vAlign w:val="bottom"/>
          </w:tcPr>
          <w:p w14:paraId="4824A4FC" w14:textId="57507239" w:rsidR="006C4BD0" w:rsidRPr="00334670" w:rsidRDefault="006C4BD0" w:rsidP="006C4BD0">
            <w:pPr>
              <w:pStyle w:val="Tabletext"/>
            </w:pPr>
            <w:r>
              <w:rPr>
                <w:rFonts w:ascii="Open Sans Light" w:hAnsi="Open Sans Light" w:cs="Open Sans Light"/>
                <w:color w:val="000000"/>
              </w:rPr>
              <w:t>Identify business ownership structures.</w:t>
            </w:r>
          </w:p>
        </w:tc>
        <w:tc>
          <w:tcPr>
            <w:tcW w:w="877" w:type="dxa"/>
            <w:tcBorders>
              <w:top w:val="single" w:sz="8" w:space="0" w:color="auto"/>
              <w:bottom w:val="single" w:sz="8" w:space="0" w:color="auto"/>
            </w:tcBorders>
            <w:vAlign w:val="bottom"/>
          </w:tcPr>
          <w:p w14:paraId="40DA3DE6" w14:textId="2049E95A" w:rsidR="006C4BD0" w:rsidRPr="00ED28EF" w:rsidRDefault="006C4BD0" w:rsidP="006C4BD0">
            <w:pPr>
              <w:pStyle w:val="Tabletext"/>
              <w:rPr>
                <w:rStyle w:val="Formentry12ptopunderline"/>
              </w:rPr>
            </w:pPr>
          </w:p>
        </w:tc>
      </w:tr>
      <w:tr w:rsidR="006C4BD0" w:rsidRPr="009F713B" w14:paraId="12A00709" w14:textId="77777777" w:rsidTr="00D050ED">
        <w:tc>
          <w:tcPr>
            <w:tcW w:w="705" w:type="dxa"/>
          </w:tcPr>
          <w:p w14:paraId="0F677E59" w14:textId="77777777" w:rsidR="006C4BD0" w:rsidRPr="00334670" w:rsidRDefault="006C4BD0" w:rsidP="006C4BD0">
            <w:pPr>
              <w:pStyle w:val="TableLeftcolumn"/>
            </w:pPr>
            <w:r w:rsidRPr="00334670">
              <w:t>1.4</w:t>
            </w:r>
          </w:p>
        </w:tc>
        <w:tc>
          <w:tcPr>
            <w:tcW w:w="8200" w:type="dxa"/>
            <w:tcBorders>
              <w:top w:val="nil"/>
              <w:left w:val="nil"/>
              <w:bottom w:val="nil"/>
              <w:right w:val="nil"/>
            </w:tcBorders>
            <w:shd w:val="clear" w:color="auto" w:fill="auto"/>
            <w:vAlign w:val="bottom"/>
          </w:tcPr>
          <w:p w14:paraId="1066DC66" w14:textId="443ADCEF" w:rsidR="006C4BD0" w:rsidRPr="00334670" w:rsidRDefault="006C4BD0" w:rsidP="006C4BD0">
            <w:pPr>
              <w:pStyle w:val="Tabletext"/>
            </w:pPr>
            <w:r>
              <w:rPr>
                <w:rFonts w:ascii="Open Sans Light" w:hAnsi="Open Sans Light" w:cs="Open Sans Light"/>
                <w:color w:val="000000"/>
              </w:rPr>
              <w:t>Explain the role of management and the auditor in preparing and issuing an annual report.</w:t>
            </w:r>
          </w:p>
        </w:tc>
        <w:tc>
          <w:tcPr>
            <w:tcW w:w="877" w:type="dxa"/>
            <w:tcBorders>
              <w:top w:val="single" w:sz="8" w:space="0" w:color="auto"/>
              <w:bottom w:val="single" w:sz="8" w:space="0" w:color="auto"/>
            </w:tcBorders>
            <w:vAlign w:val="bottom"/>
          </w:tcPr>
          <w:p w14:paraId="5521F425" w14:textId="4E89D8EB" w:rsidR="006C4BD0" w:rsidRPr="00ED28EF" w:rsidRDefault="006C4BD0" w:rsidP="006C4BD0">
            <w:pPr>
              <w:pStyle w:val="Tabletext"/>
              <w:rPr>
                <w:rStyle w:val="Formentry12ptopunderline"/>
              </w:rPr>
            </w:pPr>
          </w:p>
        </w:tc>
      </w:tr>
      <w:tr w:rsidR="006C4BD0" w:rsidRPr="009F713B" w14:paraId="7EDE9D68"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C4BD0" w:rsidRPr="00334670" w:rsidRDefault="006C4BD0" w:rsidP="006C4BD0">
            <w:pPr>
              <w:pStyle w:val="TableLeftcolumn"/>
            </w:pPr>
            <w:r w:rsidRPr="00334670">
              <w:t>1.5</w:t>
            </w:r>
          </w:p>
        </w:tc>
        <w:tc>
          <w:tcPr>
            <w:tcW w:w="8200" w:type="dxa"/>
            <w:tcBorders>
              <w:top w:val="nil"/>
              <w:left w:val="nil"/>
              <w:bottom w:val="nil"/>
              <w:right w:val="nil"/>
            </w:tcBorders>
            <w:shd w:val="clear" w:color="auto" w:fill="auto"/>
            <w:vAlign w:val="bottom"/>
          </w:tcPr>
          <w:p w14:paraId="04CD95B0" w14:textId="213A89B4" w:rsidR="006C4BD0" w:rsidRPr="00334670" w:rsidRDefault="006C4BD0" w:rsidP="006C4BD0">
            <w:pPr>
              <w:pStyle w:val="Tabletext"/>
            </w:pPr>
            <w:r>
              <w:rPr>
                <w:rFonts w:ascii="Open Sans Light" w:hAnsi="Open Sans Light" w:cs="Open Sans Light"/>
                <w:color w:val="000000"/>
              </w:rPr>
              <w:t>Describe the relationship between assets, liabilities and equity on the balance sheet.</w:t>
            </w:r>
          </w:p>
        </w:tc>
        <w:tc>
          <w:tcPr>
            <w:tcW w:w="877" w:type="dxa"/>
            <w:tcBorders>
              <w:top w:val="single" w:sz="8" w:space="0" w:color="auto"/>
              <w:bottom w:val="single" w:sz="8" w:space="0" w:color="auto"/>
            </w:tcBorders>
            <w:vAlign w:val="bottom"/>
          </w:tcPr>
          <w:p w14:paraId="5DF443EC" w14:textId="19538431" w:rsidR="006C4BD0" w:rsidRPr="00ED28EF" w:rsidRDefault="006C4BD0" w:rsidP="006C4BD0">
            <w:pPr>
              <w:pStyle w:val="Tabletext"/>
              <w:rPr>
                <w:rStyle w:val="Formentry12ptopunderline"/>
              </w:rPr>
            </w:pPr>
          </w:p>
        </w:tc>
      </w:tr>
      <w:tr w:rsidR="006C4BD0" w:rsidRPr="009F713B" w14:paraId="0FA45EF3" w14:textId="77777777" w:rsidTr="00D050ED">
        <w:tc>
          <w:tcPr>
            <w:tcW w:w="705" w:type="dxa"/>
          </w:tcPr>
          <w:p w14:paraId="2CD30BEF" w14:textId="698F44BD" w:rsidR="006C4BD0" w:rsidRPr="00334670" w:rsidRDefault="006C4BD0" w:rsidP="006C4BD0">
            <w:pPr>
              <w:pStyle w:val="TableLeftcolumn"/>
            </w:pPr>
            <w:r>
              <w:t>1.6</w:t>
            </w:r>
          </w:p>
        </w:tc>
        <w:tc>
          <w:tcPr>
            <w:tcW w:w="8200" w:type="dxa"/>
            <w:tcBorders>
              <w:top w:val="nil"/>
              <w:left w:val="nil"/>
              <w:bottom w:val="nil"/>
              <w:right w:val="nil"/>
            </w:tcBorders>
            <w:shd w:val="clear" w:color="auto" w:fill="auto"/>
            <w:vAlign w:val="bottom"/>
          </w:tcPr>
          <w:p w14:paraId="377DAB50" w14:textId="5DC17FCD" w:rsidR="006C4BD0" w:rsidRPr="00334670" w:rsidRDefault="006C4BD0" w:rsidP="006C4BD0">
            <w:pPr>
              <w:pStyle w:val="Tabletext"/>
            </w:pPr>
            <w:r>
              <w:rPr>
                <w:rFonts w:ascii="Open Sans Light" w:hAnsi="Open Sans Light" w:cs="Open Sans Light"/>
                <w:color w:val="000000"/>
              </w:rPr>
              <w:t>Identify and explain the classifications within assets, liabilities, and equity.</w:t>
            </w:r>
          </w:p>
        </w:tc>
        <w:tc>
          <w:tcPr>
            <w:tcW w:w="877" w:type="dxa"/>
            <w:tcBorders>
              <w:top w:val="single" w:sz="8" w:space="0" w:color="auto"/>
              <w:bottom w:val="single" w:sz="8" w:space="0" w:color="auto"/>
            </w:tcBorders>
            <w:vAlign w:val="bottom"/>
          </w:tcPr>
          <w:p w14:paraId="6B21ED95" w14:textId="77777777" w:rsidR="006C4BD0" w:rsidRPr="00ED28EF" w:rsidRDefault="006C4BD0" w:rsidP="006C4BD0">
            <w:pPr>
              <w:pStyle w:val="Tabletext"/>
              <w:rPr>
                <w:rStyle w:val="Formentry12ptopunderline"/>
              </w:rPr>
            </w:pPr>
          </w:p>
        </w:tc>
      </w:tr>
      <w:tr w:rsidR="006C4BD0" w:rsidRPr="009F713B" w14:paraId="56FD6F4C"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65598D72" w14:textId="704CED3A" w:rsidR="006C4BD0" w:rsidRPr="00334670" w:rsidRDefault="006C4BD0" w:rsidP="006C4BD0">
            <w:pPr>
              <w:pStyle w:val="TableLeftcolumn"/>
            </w:pPr>
            <w:r>
              <w:t>1.7</w:t>
            </w:r>
          </w:p>
        </w:tc>
        <w:tc>
          <w:tcPr>
            <w:tcW w:w="8200" w:type="dxa"/>
            <w:tcBorders>
              <w:top w:val="nil"/>
              <w:left w:val="nil"/>
              <w:bottom w:val="nil"/>
              <w:right w:val="nil"/>
            </w:tcBorders>
            <w:shd w:val="clear" w:color="auto" w:fill="auto"/>
            <w:vAlign w:val="bottom"/>
          </w:tcPr>
          <w:p w14:paraId="37944207" w14:textId="6350CB44" w:rsidR="006C4BD0" w:rsidRPr="00334670" w:rsidRDefault="006C4BD0" w:rsidP="006C4BD0">
            <w:pPr>
              <w:pStyle w:val="Tabletext"/>
            </w:pPr>
            <w:r>
              <w:rPr>
                <w:rFonts w:ascii="Open Sans Light" w:hAnsi="Open Sans Light" w:cs="Open Sans Light"/>
                <w:color w:val="000000"/>
              </w:rPr>
              <w:t>Define and calculate the current ratio and debtequity ratio.</w:t>
            </w:r>
          </w:p>
        </w:tc>
        <w:tc>
          <w:tcPr>
            <w:tcW w:w="877" w:type="dxa"/>
            <w:tcBorders>
              <w:top w:val="single" w:sz="8" w:space="0" w:color="auto"/>
              <w:bottom w:val="single" w:sz="8" w:space="0" w:color="auto"/>
            </w:tcBorders>
            <w:vAlign w:val="bottom"/>
          </w:tcPr>
          <w:p w14:paraId="4DB5EACC" w14:textId="77777777" w:rsidR="006C4BD0" w:rsidRPr="00ED28EF" w:rsidRDefault="006C4BD0" w:rsidP="006C4BD0">
            <w:pPr>
              <w:pStyle w:val="Tabletext"/>
              <w:rPr>
                <w:rStyle w:val="Formentry12ptopunderline"/>
              </w:rPr>
            </w:pPr>
          </w:p>
        </w:tc>
      </w:tr>
      <w:tr w:rsidR="006C4BD0" w:rsidRPr="009F713B" w14:paraId="5D4257F4" w14:textId="77777777" w:rsidTr="00D050ED">
        <w:tc>
          <w:tcPr>
            <w:tcW w:w="705" w:type="dxa"/>
          </w:tcPr>
          <w:p w14:paraId="13A6FBBB" w14:textId="1C1FEBC3" w:rsidR="006C4BD0" w:rsidRPr="00334670" w:rsidRDefault="006C4BD0" w:rsidP="006C4BD0">
            <w:pPr>
              <w:pStyle w:val="TableLeftcolumn"/>
            </w:pPr>
            <w:r>
              <w:t>1.8</w:t>
            </w:r>
          </w:p>
        </w:tc>
        <w:tc>
          <w:tcPr>
            <w:tcW w:w="8200" w:type="dxa"/>
            <w:tcBorders>
              <w:top w:val="nil"/>
              <w:left w:val="nil"/>
              <w:bottom w:val="nil"/>
              <w:right w:val="nil"/>
            </w:tcBorders>
            <w:shd w:val="clear" w:color="auto" w:fill="auto"/>
            <w:vAlign w:val="bottom"/>
          </w:tcPr>
          <w:p w14:paraId="0813E74A" w14:textId="2D92C9D8" w:rsidR="006C4BD0" w:rsidRPr="00334670" w:rsidRDefault="006C4BD0" w:rsidP="006C4BD0">
            <w:pPr>
              <w:pStyle w:val="Tabletext"/>
            </w:pPr>
            <w:r>
              <w:rPr>
                <w:rFonts w:ascii="Open Sans Light" w:hAnsi="Open Sans Light" w:cs="Open Sans Light"/>
                <w:color w:val="000000"/>
              </w:rPr>
              <w:t>Describe the information presented in an income statement.</w:t>
            </w:r>
          </w:p>
        </w:tc>
        <w:tc>
          <w:tcPr>
            <w:tcW w:w="877" w:type="dxa"/>
            <w:tcBorders>
              <w:top w:val="single" w:sz="8" w:space="0" w:color="auto"/>
              <w:bottom w:val="single" w:sz="8" w:space="0" w:color="auto"/>
            </w:tcBorders>
            <w:vAlign w:val="bottom"/>
          </w:tcPr>
          <w:p w14:paraId="7E9CB7C1" w14:textId="77777777" w:rsidR="006C4BD0" w:rsidRPr="00ED28EF" w:rsidRDefault="006C4BD0" w:rsidP="006C4BD0">
            <w:pPr>
              <w:pStyle w:val="Tabletext"/>
              <w:rPr>
                <w:rStyle w:val="Formentry12ptopunderline"/>
              </w:rPr>
            </w:pPr>
          </w:p>
        </w:tc>
      </w:tr>
      <w:tr w:rsidR="006C4BD0" w:rsidRPr="009F713B" w14:paraId="7DACFD53"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5D8868A9" w14:textId="6693CB8A" w:rsidR="006C4BD0" w:rsidRPr="00334670" w:rsidRDefault="006C4BD0" w:rsidP="006C4BD0">
            <w:pPr>
              <w:pStyle w:val="TableLeftcolumn"/>
            </w:pPr>
            <w:r>
              <w:t>1.9</w:t>
            </w:r>
          </w:p>
        </w:tc>
        <w:tc>
          <w:tcPr>
            <w:tcW w:w="8200" w:type="dxa"/>
            <w:tcBorders>
              <w:top w:val="nil"/>
              <w:left w:val="nil"/>
              <w:bottom w:val="nil"/>
              <w:right w:val="nil"/>
            </w:tcBorders>
            <w:shd w:val="clear" w:color="auto" w:fill="auto"/>
            <w:vAlign w:val="bottom"/>
          </w:tcPr>
          <w:p w14:paraId="552411C8" w14:textId="73562AA6" w:rsidR="006C4BD0" w:rsidRPr="00334670" w:rsidRDefault="006C4BD0" w:rsidP="006C4BD0">
            <w:pPr>
              <w:pStyle w:val="Tabletext"/>
            </w:pPr>
            <w:r>
              <w:rPr>
                <w:rFonts w:ascii="Open Sans Light" w:hAnsi="Open Sans Light" w:cs="Open Sans Light"/>
                <w:color w:val="000000"/>
              </w:rPr>
              <w:t>Calculate return on sales (net profit margin) and return on equity.</w:t>
            </w:r>
          </w:p>
        </w:tc>
        <w:tc>
          <w:tcPr>
            <w:tcW w:w="877" w:type="dxa"/>
            <w:tcBorders>
              <w:top w:val="single" w:sz="8" w:space="0" w:color="auto"/>
              <w:bottom w:val="single" w:sz="8" w:space="0" w:color="auto"/>
            </w:tcBorders>
            <w:vAlign w:val="bottom"/>
          </w:tcPr>
          <w:p w14:paraId="63CAFF32" w14:textId="77777777" w:rsidR="006C4BD0" w:rsidRPr="00ED28EF" w:rsidRDefault="006C4BD0" w:rsidP="006C4BD0">
            <w:pPr>
              <w:pStyle w:val="Tabletext"/>
              <w:rPr>
                <w:rStyle w:val="Formentry12ptopunderline"/>
              </w:rPr>
            </w:pPr>
          </w:p>
        </w:tc>
      </w:tr>
      <w:tr w:rsidR="006C4BD0" w:rsidRPr="009F713B" w14:paraId="1A031E62" w14:textId="77777777" w:rsidTr="00D050ED">
        <w:tc>
          <w:tcPr>
            <w:tcW w:w="705" w:type="dxa"/>
          </w:tcPr>
          <w:p w14:paraId="07EDFFB8" w14:textId="7BA0565E" w:rsidR="006C4BD0" w:rsidRPr="00334670" w:rsidRDefault="006C4BD0" w:rsidP="006C4BD0">
            <w:pPr>
              <w:pStyle w:val="TableLeftcolumn"/>
            </w:pPr>
            <w:r>
              <w:t>1.10</w:t>
            </w:r>
          </w:p>
        </w:tc>
        <w:tc>
          <w:tcPr>
            <w:tcW w:w="8200" w:type="dxa"/>
            <w:tcBorders>
              <w:top w:val="nil"/>
              <w:left w:val="nil"/>
              <w:bottom w:val="nil"/>
              <w:right w:val="nil"/>
            </w:tcBorders>
            <w:shd w:val="clear" w:color="auto" w:fill="auto"/>
            <w:vAlign w:val="bottom"/>
          </w:tcPr>
          <w:p w14:paraId="5077E51F" w14:textId="4BAF1193" w:rsidR="006C4BD0" w:rsidRPr="00334670" w:rsidRDefault="006C4BD0" w:rsidP="006C4BD0">
            <w:pPr>
              <w:pStyle w:val="Tabletext"/>
            </w:pPr>
            <w:r>
              <w:rPr>
                <w:rFonts w:ascii="Open Sans Light" w:hAnsi="Open Sans Light" w:cs="Open Sans Light"/>
                <w:color w:val="000000"/>
              </w:rPr>
              <w:t>Identify and explain the three phases of the management cycle.</w:t>
            </w:r>
          </w:p>
        </w:tc>
        <w:tc>
          <w:tcPr>
            <w:tcW w:w="877" w:type="dxa"/>
            <w:tcBorders>
              <w:top w:val="single" w:sz="8" w:space="0" w:color="auto"/>
              <w:bottom w:val="single" w:sz="8" w:space="0" w:color="auto"/>
            </w:tcBorders>
            <w:vAlign w:val="bottom"/>
          </w:tcPr>
          <w:p w14:paraId="229DC7B5" w14:textId="77777777" w:rsidR="006C4BD0" w:rsidRPr="00ED28EF" w:rsidRDefault="006C4BD0" w:rsidP="006C4BD0">
            <w:pPr>
              <w:pStyle w:val="Tabletext"/>
              <w:rPr>
                <w:rStyle w:val="Formentry12ptopunderline"/>
              </w:rPr>
            </w:pPr>
          </w:p>
        </w:tc>
      </w:tr>
      <w:tr w:rsidR="006C4BD0" w:rsidRPr="009F713B" w14:paraId="076BA0FD"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182B689B" w14:textId="43575776" w:rsidR="006C4BD0" w:rsidRPr="00334670" w:rsidRDefault="006C4BD0" w:rsidP="006C4BD0">
            <w:pPr>
              <w:pStyle w:val="TableLeftcolumn"/>
            </w:pPr>
            <w:r>
              <w:t>1.11</w:t>
            </w:r>
          </w:p>
        </w:tc>
        <w:tc>
          <w:tcPr>
            <w:tcW w:w="8200" w:type="dxa"/>
            <w:tcBorders>
              <w:top w:val="nil"/>
              <w:left w:val="nil"/>
              <w:bottom w:val="nil"/>
              <w:right w:val="nil"/>
            </w:tcBorders>
            <w:shd w:val="clear" w:color="auto" w:fill="auto"/>
            <w:vAlign w:val="bottom"/>
          </w:tcPr>
          <w:p w14:paraId="5458CB83" w14:textId="16420434" w:rsidR="006C4BD0" w:rsidRPr="00334670" w:rsidRDefault="006C4BD0" w:rsidP="006C4BD0">
            <w:pPr>
              <w:pStyle w:val="Tabletext"/>
            </w:pPr>
            <w:r>
              <w:rPr>
                <w:rFonts w:ascii="Open Sans Light" w:hAnsi="Open Sans Light" w:cs="Open Sans Light"/>
                <w:color w:val="000000"/>
              </w:rPr>
              <w:t>Identify and explain the four business processes.</w:t>
            </w:r>
          </w:p>
        </w:tc>
        <w:tc>
          <w:tcPr>
            <w:tcW w:w="877" w:type="dxa"/>
            <w:tcBorders>
              <w:top w:val="single" w:sz="8" w:space="0" w:color="auto"/>
              <w:bottom w:val="single" w:sz="8" w:space="0" w:color="auto"/>
            </w:tcBorders>
            <w:vAlign w:val="bottom"/>
          </w:tcPr>
          <w:p w14:paraId="6D844C2F" w14:textId="77777777" w:rsidR="006C4BD0" w:rsidRPr="00ED28EF" w:rsidRDefault="006C4BD0" w:rsidP="006C4BD0">
            <w:pPr>
              <w:pStyle w:val="Tabletext"/>
              <w:rPr>
                <w:rStyle w:val="Formentry12ptopunderline"/>
              </w:rPr>
            </w:pPr>
          </w:p>
        </w:tc>
      </w:tr>
      <w:tr w:rsidR="006C4BD0" w:rsidRPr="009F713B" w14:paraId="0AD3D1D9" w14:textId="77777777" w:rsidTr="00D050ED">
        <w:tc>
          <w:tcPr>
            <w:tcW w:w="705" w:type="dxa"/>
          </w:tcPr>
          <w:p w14:paraId="0A6B15E0" w14:textId="6A217F68" w:rsidR="006C4BD0" w:rsidRPr="00334670" w:rsidRDefault="006C4BD0" w:rsidP="006C4BD0">
            <w:pPr>
              <w:pStyle w:val="TableLeftcolumn"/>
            </w:pPr>
            <w:r>
              <w:t>1.12</w:t>
            </w:r>
          </w:p>
        </w:tc>
        <w:tc>
          <w:tcPr>
            <w:tcW w:w="8200" w:type="dxa"/>
            <w:tcBorders>
              <w:top w:val="nil"/>
              <w:left w:val="nil"/>
              <w:bottom w:val="nil"/>
              <w:right w:val="nil"/>
            </w:tcBorders>
            <w:shd w:val="clear" w:color="auto" w:fill="auto"/>
            <w:vAlign w:val="bottom"/>
          </w:tcPr>
          <w:p w14:paraId="4932D8F6" w14:textId="7DA80386" w:rsidR="006C4BD0" w:rsidRPr="00334670" w:rsidRDefault="006C4BD0" w:rsidP="006C4BD0">
            <w:pPr>
              <w:pStyle w:val="Tabletext"/>
            </w:pPr>
            <w:r>
              <w:rPr>
                <w:rFonts w:ascii="Open Sans Light" w:hAnsi="Open Sans Light" w:cs="Open Sans Light"/>
                <w:color w:val="000000"/>
              </w:rPr>
              <w:t>Explain and calculate the operating cycle (accounts receivable turnover and inventory turnover).</w:t>
            </w:r>
          </w:p>
        </w:tc>
        <w:tc>
          <w:tcPr>
            <w:tcW w:w="877" w:type="dxa"/>
            <w:tcBorders>
              <w:top w:val="single" w:sz="8" w:space="0" w:color="auto"/>
              <w:bottom w:val="single" w:sz="8" w:space="0" w:color="auto"/>
            </w:tcBorders>
            <w:vAlign w:val="bottom"/>
          </w:tcPr>
          <w:p w14:paraId="3EBA441D" w14:textId="77777777" w:rsidR="006C4BD0" w:rsidRPr="00ED28EF" w:rsidRDefault="006C4BD0" w:rsidP="006C4BD0">
            <w:pPr>
              <w:pStyle w:val="Tabletext"/>
              <w:rPr>
                <w:rStyle w:val="Formentry12ptopunderline"/>
              </w:rPr>
            </w:pPr>
          </w:p>
        </w:tc>
      </w:tr>
      <w:tr w:rsidR="006C4BD0" w:rsidRPr="009F713B" w14:paraId="379F28E2" w14:textId="77777777" w:rsidTr="00D050ED">
        <w:trPr>
          <w:cnfStyle w:val="000000100000" w:firstRow="0" w:lastRow="0" w:firstColumn="0" w:lastColumn="0" w:oddVBand="0" w:evenVBand="0" w:oddHBand="1" w:evenHBand="0" w:firstRowFirstColumn="0" w:firstRowLastColumn="0" w:lastRowFirstColumn="0" w:lastRowLastColumn="0"/>
        </w:trPr>
        <w:tc>
          <w:tcPr>
            <w:tcW w:w="705" w:type="dxa"/>
          </w:tcPr>
          <w:p w14:paraId="1CE05FD8" w14:textId="20C4F218" w:rsidR="006C4BD0" w:rsidRPr="00334670" w:rsidRDefault="006C4BD0" w:rsidP="006C4BD0">
            <w:pPr>
              <w:pStyle w:val="TableLeftcolumn"/>
            </w:pPr>
            <w:r>
              <w:lastRenderedPageBreak/>
              <w:t>1.13</w:t>
            </w:r>
          </w:p>
        </w:tc>
        <w:tc>
          <w:tcPr>
            <w:tcW w:w="8200" w:type="dxa"/>
            <w:tcBorders>
              <w:top w:val="nil"/>
              <w:left w:val="nil"/>
              <w:bottom w:val="nil"/>
              <w:right w:val="nil"/>
            </w:tcBorders>
            <w:shd w:val="clear" w:color="auto" w:fill="auto"/>
            <w:vAlign w:val="bottom"/>
          </w:tcPr>
          <w:p w14:paraId="66C994F1" w14:textId="319C1435" w:rsidR="006C4BD0" w:rsidRPr="00334670" w:rsidRDefault="006C4BD0" w:rsidP="006C4BD0">
            <w:pPr>
              <w:pStyle w:val="Tabletext"/>
            </w:pPr>
            <w:r>
              <w:rPr>
                <w:rFonts w:ascii="Open Sans Light" w:hAnsi="Open Sans Light" w:cs="Open Sans Light"/>
                <w:color w:val="000000"/>
              </w:rPr>
              <w:t>Explain how internal control procedures are used to safeguard assets.</w:t>
            </w:r>
          </w:p>
        </w:tc>
        <w:tc>
          <w:tcPr>
            <w:tcW w:w="877" w:type="dxa"/>
            <w:tcBorders>
              <w:top w:val="single" w:sz="8" w:space="0" w:color="auto"/>
              <w:bottom w:val="single" w:sz="8" w:space="0" w:color="auto"/>
            </w:tcBorders>
            <w:vAlign w:val="bottom"/>
          </w:tcPr>
          <w:p w14:paraId="5E63D996" w14:textId="77777777" w:rsidR="006C4BD0" w:rsidRPr="00ED28EF" w:rsidRDefault="006C4BD0" w:rsidP="006C4BD0">
            <w:pPr>
              <w:pStyle w:val="Tabletext"/>
              <w:rPr>
                <w:rStyle w:val="Formentry12ptopunderline"/>
              </w:rPr>
            </w:pPr>
          </w:p>
        </w:tc>
      </w:tr>
      <w:tr w:rsidR="006C4BD0" w:rsidRPr="009F713B" w14:paraId="16CEE66A" w14:textId="77777777" w:rsidTr="00D050ED">
        <w:tc>
          <w:tcPr>
            <w:tcW w:w="705" w:type="dxa"/>
          </w:tcPr>
          <w:p w14:paraId="384413D3" w14:textId="42E65EA7" w:rsidR="006C4BD0" w:rsidRPr="00334670" w:rsidRDefault="006C4BD0" w:rsidP="006C4BD0">
            <w:pPr>
              <w:pStyle w:val="TableLeftcolumn"/>
            </w:pPr>
            <w:r>
              <w:t>1.14</w:t>
            </w:r>
          </w:p>
        </w:tc>
        <w:tc>
          <w:tcPr>
            <w:tcW w:w="8200" w:type="dxa"/>
            <w:tcBorders>
              <w:top w:val="nil"/>
              <w:left w:val="nil"/>
              <w:bottom w:val="nil"/>
              <w:right w:val="nil"/>
            </w:tcBorders>
            <w:shd w:val="clear" w:color="auto" w:fill="auto"/>
            <w:vAlign w:val="bottom"/>
          </w:tcPr>
          <w:p w14:paraId="26B95D05" w14:textId="4BBFF7B7" w:rsidR="006C4BD0" w:rsidRPr="00334670" w:rsidRDefault="006C4BD0" w:rsidP="006C4BD0">
            <w:pPr>
              <w:pStyle w:val="Tabletext"/>
            </w:pPr>
            <w:r>
              <w:rPr>
                <w:rFonts w:ascii="Open Sans Light" w:hAnsi="Open Sans Light" w:cs="Open Sans Light"/>
                <w:color w:val="000000"/>
              </w:rPr>
              <w:t>Prepare a bank reconciliation.</w:t>
            </w:r>
          </w:p>
        </w:tc>
        <w:tc>
          <w:tcPr>
            <w:tcW w:w="877" w:type="dxa"/>
            <w:tcBorders>
              <w:top w:val="single" w:sz="8" w:space="0" w:color="auto"/>
              <w:bottom w:val="single" w:sz="8" w:space="0" w:color="auto"/>
            </w:tcBorders>
            <w:vAlign w:val="bottom"/>
          </w:tcPr>
          <w:p w14:paraId="30325AB7" w14:textId="77777777" w:rsidR="006C4BD0" w:rsidRPr="00ED28EF" w:rsidRDefault="006C4BD0" w:rsidP="006C4BD0">
            <w:pPr>
              <w:pStyle w:val="Tabletext"/>
              <w:rPr>
                <w:rStyle w:val="Formentry12ptopunderline"/>
              </w:rPr>
            </w:pPr>
          </w:p>
        </w:tc>
      </w:tr>
    </w:tbl>
    <w:p w14:paraId="7B228C3A" w14:textId="0EAE92A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C4BD0" w:rsidRPr="006C4BD0">
            <w:t>Accounting Information Systems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C4BD0" w:rsidRPr="009F713B" w14:paraId="2712CFEE" w14:textId="77777777" w:rsidTr="00DA180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C4BD0" w:rsidRPr="00334670" w:rsidRDefault="006C4BD0" w:rsidP="006C4BD0">
            <w:pPr>
              <w:pStyle w:val="TableLeftcolumn"/>
            </w:pPr>
            <w:r w:rsidRPr="000E4E56">
              <w:t>2.1</w:t>
            </w:r>
          </w:p>
        </w:tc>
        <w:tc>
          <w:tcPr>
            <w:tcW w:w="8200" w:type="dxa"/>
            <w:tcBorders>
              <w:top w:val="nil"/>
              <w:left w:val="nil"/>
              <w:bottom w:val="nil"/>
              <w:right w:val="nil"/>
            </w:tcBorders>
            <w:shd w:val="clear" w:color="auto" w:fill="auto"/>
            <w:vAlign w:val="bottom"/>
          </w:tcPr>
          <w:p w14:paraId="7E57850B" w14:textId="78410AC2" w:rsidR="006C4BD0" w:rsidRPr="00D53139" w:rsidRDefault="006C4BD0" w:rsidP="006C4BD0">
            <w:pPr>
              <w:pStyle w:val="Tabletext"/>
            </w:pPr>
            <w:r>
              <w:rPr>
                <w:rFonts w:ascii="Open Sans Light" w:hAnsi="Open Sans Light" w:cs="Open Sans Light"/>
                <w:color w:val="000000"/>
              </w:rPr>
              <w:t>Describe the purpose of the accounting system.</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C4BD0" w:rsidRPr="00ED28EF" w:rsidRDefault="006C4BD0" w:rsidP="006C4BD0">
            <w:pPr>
              <w:pStyle w:val="Tabletext"/>
              <w:rPr>
                <w:rStyle w:val="Formentry12ptopunderline"/>
              </w:rPr>
            </w:pPr>
          </w:p>
        </w:tc>
      </w:tr>
      <w:tr w:rsidR="006C4BD0" w:rsidRPr="009F713B" w14:paraId="4E322221" w14:textId="77777777" w:rsidTr="00DA1808">
        <w:tc>
          <w:tcPr>
            <w:tcW w:w="705" w:type="dxa"/>
          </w:tcPr>
          <w:p w14:paraId="17BF9788" w14:textId="5708E2B2" w:rsidR="006C4BD0" w:rsidRPr="00334670" w:rsidRDefault="006C4BD0" w:rsidP="006C4BD0">
            <w:pPr>
              <w:pStyle w:val="TableLeftcolumn"/>
            </w:pPr>
            <w:r>
              <w:t>2.2</w:t>
            </w:r>
          </w:p>
        </w:tc>
        <w:tc>
          <w:tcPr>
            <w:tcW w:w="8200" w:type="dxa"/>
            <w:tcBorders>
              <w:top w:val="nil"/>
              <w:left w:val="nil"/>
              <w:bottom w:val="nil"/>
              <w:right w:val="nil"/>
            </w:tcBorders>
            <w:shd w:val="clear" w:color="auto" w:fill="auto"/>
            <w:vAlign w:val="bottom"/>
          </w:tcPr>
          <w:p w14:paraId="2C250D7B" w14:textId="7246B401" w:rsidR="006C4BD0" w:rsidRPr="00334670" w:rsidRDefault="006C4BD0" w:rsidP="006C4BD0">
            <w:pPr>
              <w:pStyle w:val="Tabletext"/>
            </w:pPr>
            <w:r>
              <w:rPr>
                <w:rFonts w:ascii="Open Sans Light" w:hAnsi="Open Sans Light" w:cs="Open Sans Light"/>
                <w:color w:val="000000"/>
              </w:rPr>
              <w:t>Describe the purpose of journals and ledgers and their relationship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C4BD0" w:rsidRPr="00ED28EF" w:rsidRDefault="006C4BD0" w:rsidP="006C4BD0">
            <w:pPr>
              <w:pStyle w:val="Tabletext"/>
              <w:rPr>
                <w:rStyle w:val="Formentry12ptopunderline"/>
              </w:rPr>
            </w:pPr>
          </w:p>
        </w:tc>
      </w:tr>
      <w:tr w:rsidR="006C4BD0" w:rsidRPr="009F713B" w14:paraId="1FCA5212" w14:textId="77777777" w:rsidTr="00DA180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C4BD0" w:rsidRPr="00334670" w:rsidRDefault="006C4BD0" w:rsidP="006C4BD0">
            <w:pPr>
              <w:pStyle w:val="TableLeftcolumn"/>
            </w:pPr>
            <w:r>
              <w:t>2.3</w:t>
            </w:r>
          </w:p>
        </w:tc>
        <w:tc>
          <w:tcPr>
            <w:tcW w:w="8200" w:type="dxa"/>
            <w:tcBorders>
              <w:top w:val="nil"/>
              <w:left w:val="nil"/>
              <w:bottom w:val="nil"/>
              <w:right w:val="nil"/>
            </w:tcBorders>
            <w:shd w:val="clear" w:color="auto" w:fill="auto"/>
            <w:vAlign w:val="bottom"/>
          </w:tcPr>
          <w:p w14:paraId="5E6C62F5" w14:textId="1D747597" w:rsidR="006C4BD0" w:rsidRPr="00334670" w:rsidRDefault="006C4BD0" w:rsidP="006C4BD0">
            <w:pPr>
              <w:pStyle w:val="Tabletext"/>
            </w:pPr>
            <w:r>
              <w:rPr>
                <w:rFonts w:ascii="Open Sans Light" w:hAnsi="Open Sans Light" w:cs="Open Sans Light"/>
                <w:color w:val="000000"/>
              </w:rPr>
              <w:t>Analyze and describe how business transactions impact the accounting equation.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C4BD0" w:rsidRPr="00ED28EF" w:rsidRDefault="006C4BD0" w:rsidP="006C4BD0">
            <w:pPr>
              <w:pStyle w:val="Tabletext"/>
              <w:rPr>
                <w:rStyle w:val="Formentry12ptopunderline"/>
              </w:rPr>
            </w:pPr>
          </w:p>
        </w:tc>
      </w:tr>
      <w:tr w:rsidR="006C4BD0" w:rsidRPr="009F713B" w14:paraId="174CB02E" w14:textId="77777777" w:rsidTr="00DA1808">
        <w:tc>
          <w:tcPr>
            <w:tcW w:w="705" w:type="dxa"/>
          </w:tcPr>
          <w:p w14:paraId="2FBB3D81" w14:textId="737B2B52" w:rsidR="006C4BD0" w:rsidRPr="00334670" w:rsidRDefault="006C4BD0" w:rsidP="006C4BD0">
            <w:pPr>
              <w:pStyle w:val="TableLeftcolumn"/>
            </w:pPr>
            <w:r>
              <w:t>2.4</w:t>
            </w:r>
          </w:p>
        </w:tc>
        <w:tc>
          <w:tcPr>
            <w:tcW w:w="8200" w:type="dxa"/>
            <w:tcBorders>
              <w:top w:val="nil"/>
              <w:left w:val="nil"/>
              <w:bottom w:val="nil"/>
              <w:right w:val="nil"/>
            </w:tcBorders>
            <w:shd w:val="clear" w:color="auto" w:fill="auto"/>
            <w:vAlign w:val="bottom"/>
          </w:tcPr>
          <w:p w14:paraId="3D3343D9" w14:textId="17CFD2A3" w:rsidR="006C4BD0" w:rsidRPr="00334670" w:rsidRDefault="006C4BD0" w:rsidP="006C4BD0">
            <w:pPr>
              <w:pStyle w:val="Tabletext"/>
            </w:pPr>
            <w:r>
              <w:rPr>
                <w:rFonts w:ascii="Open Sans Light" w:hAnsi="Open Sans Light" w:cs="Open Sans Light"/>
                <w:color w:val="000000"/>
              </w:rPr>
              <w:t>Apply the double-entry system of accounting to record business transactions and prepare a trial balance.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C4BD0" w:rsidRPr="00ED28EF" w:rsidRDefault="006C4BD0" w:rsidP="006C4BD0">
            <w:pPr>
              <w:pStyle w:val="Tabletext"/>
              <w:rPr>
                <w:rStyle w:val="Formentry12ptopunderline"/>
              </w:rPr>
            </w:pPr>
          </w:p>
        </w:tc>
      </w:tr>
      <w:tr w:rsidR="006C4BD0" w:rsidRPr="009F713B" w14:paraId="7527AFA2" w14:textId="77777777" w:rsidTr="00DA180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C4BD0" w:rsidRPr="00334670" w:rsidRDefault="006C4BD0" w:rsidP="006C4BD0">
            <w:pPr>
              <w:pStyle w:val="TableLeftcolumn"/>
            </w:pPr>
            <w:r>
              <w:t>2.5</w:t>
            </w:r>
          </w:p>
        </w:tc>
        <w:tc>
          <w:tcPr>
            <w:tcW w:w="8200" w:type="dxa"/>
            <w:tcBorders>
              <w:top w:val="nil"/>
              <w:left w:val="nil"/>
              <w:bottom w:val="nil"/>
              <w:right w:val="nil"/>
            </w:tcBorders>
            <w:shd w:val="clear" w:color="auto" w:fill="auto"/>
            <w:vAlign w:val="bottom"/>
          </w:tcPr>
          <w:p w14:paraId="138963DF" w14:textId="1AD07436" w:rsidR="006C4BD0" w:rsidRPr="00334670" w:rsidRDefault="006C4BD0" w:rsidP="006C4BD0">
            <w:pPr>
              <w:pStyle w:val="Tabletext"/>
            </w:pPr>
            <w:r>
              <w:rPr>
                <w:rFonts w:ascii="Open Sans Light" w:hAnsi="Open Sans Light" w:cs="Open Sans Light"/>
                <w:color w:val="000000"/>
              </w:rPr>
              <w:t>Explain the need for adjusting entries and record adjusting entries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C4BD0" w:rsidRPr="00ED28EF" w:rsidRDefault="006C4BD0" w:rsidP="006C4BD0">
            <w:pPr>
              <w:pStyle w:val="Tabletext"/>
              <w:rPr>
                <w:rStyle w:val="Formentry12ptopunderline"/>
              </w:rPr>
            </w:pPr>
          </w:p>
        </w:tc>
      </w:tr>
      <w:tr w:rsidR="006C4BD0" w:rsidRPr="009F713B" w14:paraId="4F6DB2C1" w14:textId="77777777" w:rsidTr="00DA1808">
        <w:tc>
          <w:tcPr>
            <w:tcW w:w="705" w:type="dxa"/>
          </w:tcPr>
          <w:p w14:paraId="552C0F9D" w14:textId="39600606" w:rsidR="006C4BD0" w:rsidRDefault="006C4BD0" w:rsidP="006C4BD0">
            <w:pPr>
              <w:pStyle w:val="TableLeftcolumn"/>
            </w:pPr>
            <w:r>
              <w:t>2.6</w:t>
            </w:r>
          </w:p>
        </w:tc>
        <w:tc>
          <w:tcPr>
            <w:tcW w:w="8200" w:type="dxa"/>
            <w:tcBorders>
              <w:top w:val="nil"/>
              <w:left w:val="nil"/>
              <w:bottom w:val="nil"/>
              <w:right w:val="nil"/>
            </w:tcBorders>
            <w:shd w:val="clear" w:color="auto" w:fill="auto"/>
            <w:vAlign w:val="bottom"/>
          </w:tcPr>
          <w:p w14:paraId="165FE243" w14:textId="4A06E98C" w:rsidR="006C4BD0" w:rsidRPr="00334670" w:rsidRDefault="006C4BD0" w:rsidP="006C4BD0">
            <w:pPr>
              <w:pStyle w:val="Tabletext"/>
            </w:pPr>
            <w:r>
              <w:rPr>
                <w:rFonts w:ascii="Open Sans Light" w:hAnsi="Open Sans Light" w:cs="Open Sans Light"/>
                <w:color w:val="000000"/>
              </w:rPr>
              <w:t>Prepare the financial statements for the different types of business operations and ownership structures.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777F137" w14:textId="77777777" w:rsidR="006C4BD0" w:rsidRPr="00ED28EF" w:rsidRDefault="006C4BD0" w:rsidP="006C4BD0">
            <w:pPr>
              <w:pStyle w:val="Tabletext"/>
              <w:rPr>
                <w:rStyle w:val="Formentry12ptopunderline"/>
              </w:rPr>
            </w:pPr>
          </w:p>
        </w:tc>
      </w:tr>
      <w:tr w:rsidR="006C4BD0" w:rsidRPr="009F713B" w14:paraId="4343E47C" w14:textId="77777777" w:rsidTr="00DA1808">
        <w:trPr>
          <w:cnfStyle w:val="000000100000" w:firstRow="0" w:lastRow="0" w:firstColumn="0" w:lastColumn="0" w:oddVBand="0" w:evenVBand="0" w:oddHBand="1" w:evenHBand="0" w:firstRowFirstColumn="0" w:firstRowLastColumn="0" w:lastRowFirstColumn="0" w:lastRowLastColumn="0"/>
        </w:trPr>
        <w:tc>
          <w:tcPr>
            <w:tcW w:w="705" w:type="dxa"/>
          </w:tcPr>
          <w:p w14:paraId="1D9126FB" w14:textId="48296471" w:rsidR="006C4BD0" w:rsidRDefault="006C4BD0" w:rsidP="006C4BD0">
            <w:pPr>
              <w:pStyle w:val="TableLeftcolumn"/>
            </w:pPr>
            <w:r>
              <w:t>2.7</w:t>
            </w:r>
          </w:p>
        </w:tc>
        <w:tc>
          <w:tcPr>
            <w:tcW w:w="8200" w:type="dxa"/>
            <w:tcBorders>
              <w:top w:val="nil"/>
              <w:left w:val="nil"/>
              <w:bottom w:val="nil"/>
              <w:right w:val="nil"/>
            </w:tcBorders>
            <w:shd w:val="clear" w:color="auto" w:fill="auto"/>
            <w:vAlign w:val="bottom"/>
          </w:tcPr>
          <w:p w14:paraId="64913762" w14:textId="063A86F7" w:rsidR="006C4BD0" w:rsidRPr="00334670" w:rsidRDefault="006C4BD0" w:rsidP="006C4BD0">
            <w:pPr>
              <w:pStyle w:val="Tabletext"/>
            </w:pPr>
            <w:r>
              <w:rPr>
                <w:rFonts w:ascii="Open Sans Light" w:hAnsi="Open Sans Light" w:cs="Open Sans Light"/>
                <w:color w:val="000000"/>
              </w:rPr>
              <w:t>Explain the purposes of the closing process and record closing entries.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206A064" w14:textId="77777777" w:rsidR="006C4BD0" w:rsidRPr="00ED28EF" w:rsidRDefault="006C4BD0" w:rsidP="006C4BD0">
            <w:pPr>
              <w:pStyle w:val="Tabletext"/>
              <w:rPr>
                <w:rStyle w:val="Formentry12ptopunderline"/>
              </w:rPr>
            </w:pPr>
          </w:p>
        </w:tc>
      </w:tr>
      <w:tr w:rsidR="006C4BD0" w:rsidRPr="009F713B" w14:paraId="1D873A15" w14:textId="77777777" w:rsidTr="00DA1808">
        <w:tc>
          <w:tcPr>
            <w:tcW w:w="705" w:type="dxa"/>
          </w:tcPr>
          <w:p w14:paraId="297509B9" w14:textId="6353CA0C" w:rsidR="006C4BD0" w:rsidRDefault="006C4BD0" w:rsidP="006C4BD0">
            <w:pPr>
              <w:pStyle w:val="TableLeftcolumn"/>
            </w:pPr>
            <w:r>
              <w:t>2.8</w:t>
            </w:r>
          </w:p>
        </w:tc>
        <w:tc>
          <w:tcPr>
            <w:tcW w:w="8200" w:type="dxa"/>
            <w:tcBorders>
              <w:top w:val="nil"/>
              <w:left w:val="nil"/>
              <w:bottom w:val="nil"/>
              <w:right w:val="nil"/>
            </w:tcBorders>
            <w:shd w:val="clear" w:color="auto" w:fill="auto"/>
            <w:vAlign w:val="bottom"/>
          </w:tcPr>
          <w:p w14:paraId="0A02C0E6" w14:textId="0E5862D0" w:rsidR="006C4BD0" w:rsidRPr="00334670" w:rsidRDefault="006C4BD0" w:rsidP="006C4BD0">
            <w:pPr>
              <w:pStyle w:val="Tabletext"/>
            </w:pPr>
            <w:r>
              <w:rPr>
                <w:rFonts w:ascii="Open Sans Light" w:hAnsi="Open Sans Light" w:cs="Open Sans Light"/>
                <w:color w:val="000000"/>
              </w:rPr>
              <w:t>Complete the steps in the accounting cycle and prepare financial statements.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6AEDDFF" w14:textId="77777777" w:rsidR="006C4BD0" w:rsidRPr="00ED28EF" w:rsidRDefault="006C4BD0" w:rsidP="006C4BD0">
            <w:pPr>
              <w:pStyle w:val="Tabletext"/>
              <w:rPr>
                <w:rStyle w:val="Formentry12ptopunderline"/>
              </w:rPr>
            </w:pPr>
          </w:p>
        </w:tc>
      </w:tr>
    </w:tbl>
    <w:p w14:paraId="46D55A89" w14:textId="3CB50BA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C4BD0" w:rsidRPr="006C4BD0">
            <w:t>Accounting for Merchandising Companies.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C4BD0" w:rsidRPr="009F713B" w14:paraId="1147A465"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C4BD0" w:rsidRPr="00A04D82" w:rsidRDefault="006C4BD0" w:rsidP="006C4BD0">
            <w:pPr>
              <w:pStyle w:val="TableLeftcolumn"/>
            </w:pPr>
            <w:r w:rsidRPr="00A04D82">
              <w:t>3.1</w:t>
            </w:r>
          </w:p>
        </w:tc>
        <w:tc>
          <w:tcPr>
            <w:tcW w:w="8194" w:type="dxa"/>
            <w:tcBorders>
              <w:top w:val="nil"/>
              <w:left w:val="nil"/>
              <w:bottom w:val="nil"/>
              <w:right w:val="nil"/>
            </w:tcBorders>
            <w:shd w:val="clear" w:color="auto" w:fill="auto"/>
            <w:vAlign w:val="bottom"/>
          </w:tcPr>
          <w:p w14:paraId="5217D26F" w14:textId="368FBA87" w:rsidR="006C4BD0" w:rsidRPr="00D53139" w:rsidRDefault="006C4BD0" w:rsidP="006C4BD0">
            <w:pPr>
              <w:pStyle w:val="NoSpacing"/>
            </w:pPr>
            <w:r>
              <w:rPr>
                <w:rFonts w:ascii="Open Sans Light" w:hAnsi="Open Sans Light" w:cs="Open Sans Light"/>
                <w:color w:val="000000"/>
              </w:rPr>
              <w:t>Describe the differences between the periodic and perpetual inventory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C4BD0" w:rsidRPr="00ED28EF" w:rsidRDefault="006C4BD0" w:rsidP="006C4BD0">
            <w:pPr>
              <w:pStyle w:val="Tabletext"/>
              <w:rPr>
                <w:rStyle w:val="Formentry12ptopunderline"/>
              </w:rPr>
            </w:pPr>
          </w:p>
        </w:tc>
      </w:tr>
      <w:tr w:rsidR="006C4BD0" w:rsidRPr="009F713B" w14:paraId="6D602401" w14:textId="77777777" w:rsidTr="00756493">
        <w:trPr>
          <w:trHeight w:val="20"/>
        </w:trPr>
        <w:tc>
          <w:tcPr>
            <w:tcW w:w="720" w:type="dxa"/>
          </w:tcPr>
          <w:p w14:paraId="047A6946" w14:textId="7F12445C" w:rsidR="006C4BD0" w:rsidRPr="00A04D82" w:rsidRDefault="006C4BD0" w:rsidP="006C4BD0">
            <w:pPr>
              <w:pStyle w:val="TableLeftcolumn"/>
            </w:pPr>
            <w:r w:rsidRPr="00A04D82">
              <w:t>3.2</w:t>
            </w:r>
          </w:p>
        </w:tc>
        <w:tc>
          <w:tcPr>
            <w:tcW w:w="8194" w:type="dxa"/>
            <w:tcBorders>
              <w:top w:val="nil"/>
              <w:left w:val="nil"/>
              <w:bottom w:val="nil"/>
              <w:right w:val="nil"/>
            </w:tcBorders>
            <w:shd w:val="clear" w:color="auto" w:fill="auto"/>
            <w:vAlign w:val="bottom"/>
          </w:tcPr>
          <w:p w14:paraId="672546D8" w14:textId="42F3ABD4" w:rsidR="006C4BD0" w:rsidRPr="00334670" w:rsidRDefault="006C4BD0" w:rsidP="006C4BD0">
            <w:pPr>
              <w:pStyle w:val="NoSpacing"/>
            </w:pPr>
            <w:r>
              <w:rPr>
                <w:rFonts w:ascii="Open Sans Light" w:hAnsi="Open Sans Light" w:cs="Open Sans Light"/>
                <w:color w:val="000000"/>
              </w:rPr>
              <w:t>Record business transactions using the periodic inventory system and the perpetual inventory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C4BD0" w:rsidRPr="00ED28EF" w:rsidRDefault="006C4BD0" w:rsidP="006C4BD0">
            <w:pPr>
              <w:pStyle w:val="Tabletext"/>
              <w:rPr>
                <w:rStyle w:val="Formentry12ptopunderline"/>
              </w:rPr>
            </w:pPr>
          </w:p>
        </w:tc>
      </w:tr>
      <w:tr w:rsidR="006C4BD0" w:rsidRPr="009F713B" w14:paraId="60C876BF"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C4BD0" w:rsidRPr="00A04D82" w:rsidRDefault="006C4BD0" w:rsidP="006C4BD0">
            <w:pPr>
              <w:pStyle w:val="TableLeftcolumn"/>
            </w:pPr>
            <w:r w:rsidRPr="00A04D82">
              <w:t>3.3</w:t>
            </w:r>
          </w:p>
        </w:tc>
        <w:tc>
          <w:tcPr>
            <w:tcW w:w="8194" w:type="dxa"/>
            <w:tcBorders>
              <w:top w:val="nil"/>
              <w:left w:val="nil"/>
              <w:bottom w:val="nil"/>
              <w:right w:val="nil"/>
            </w:tcBorders>
            <w:shd w:val="clear" w:color="auto" w:fill="auto"/>
            <w:vAlign w:val="bottom"/>
          </w:tcPr>
          <w:p w14:paraId="1816B003" w14:textId="1913B53E" w:rsidR="006C4BD0" w:rsidRPr="00334670" w:rsidRDefault="006C4BD0" w:rsidP="006C4BD0">
            <w:pPr>
              <w:pStyle w:val="NoSpacing"/>
            </w:pPr>
            <w:r>
              <w:rPr>
                <w:rFonts w:ascii="Open Sans Light" w:hAnsi="Open Sans Light" w:cs="Open Sans Light"/>
                <w:color w:val="000000"/>
              </w:rPr>
              <w:t>Describe the difference between the gross price method and the net price method.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C4BD0" w:rsidRPr="00ED28EF" w:rsidRDefault="006C4BD0" w:rsidP="006C4BD0">
            <w:pPr>
              <w:pStyle w:val="Tabletext"/>
              <w:rPr>
                <w:rStyle w:val="Formentry12ptopunderline"/>
              </w:rPr>
            </w:pPr>
          </w:p>
        </w:tc>
      </w:tr>
      <w:tr w:rsidR="006C4BD0" w:rsidRPr="009F713B" w14:paraId="29029CEA" w14:textId="77777777" w:rsidTr="00756493">
        <w:trPr>
          <w:trHeight w:val="20"/>
        </w:trPr>
        <w:tc>
          <w:tcPr>
            <w:tcW w:w="720" w:type="dxa"/>
          </w:tcPr>
          <w:p w14:paraId="05805C1A" w14:textId="3AD4F9D4" w:rsidR="006C4BD0" w:rsidRPr="00A04D82" w:rsidRDefault="006C4BD0" w:rsidP="006C4BD0">
            <w:pPr>
              <w:pStyle w:val="TableLeftcolumn"/>
            </w:pPr>
            <w:r w:rsidRPr="00A04D82">
              <w:t>3.4</w:t>
            </w:r>
          </w:p>
        </w:tc>
        <w:tc>
          <w:tcPr>
            <w:tcW w:w="8194" w:type="dxa"/>
            <w:tcBorders>
              <w:top w:val="nil"/>
              <w:left w:val="nil"/>
              <w:bottom w:val="nil"/>
              <w:right w:val="nil"/>
            </w:tcBorders>
            <w:shd w:val="clear" w:color="auto" w:fill="auto"/>
            <w:vAlign w:val="bottom"/>
          </w:tcPr>
          <w:p w14:paraId="2859F556" w14:textId="241CBB1B" w:rsidR="006C4BD0" w:rsidRPr="00334670" w:rsidRDefault="006C4BD0" w:rsidP="006C4BD0">
            <w:pPr>
              <w:pStyle w:val="NoSpacing"/>
            </w:pPr>
            <w:r>
              <w:rPr>
                <w:rFonts w:ascii="Open Sans Light" w:hAnsi="Open Sans Light" w:cs="Open Sans Light"/>
                <w:color w:val="000000"/>
              </w:rPr>
              <w:t>Record business transactions using the gross price method and the net price method.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C4BD0" w:rsidRPr="00ED28EF" w:rsidRDefault="006C4BD0" w:rsidP="006C4BD0">
            <w:pPr>
              <w:pStyle w:val="Tabletext"/>
              <w:rPr>
                <w:rStyle w:val="Formentry12ptopunderline"/>
              </w:rPr>
            </w:pPr>
          </w:p>
        </w:tc>
      </w:tr>
      <w:tr w:rsidR="006C4BD0" w:rsidRPr="009F713B" w14:paraId="5E5D232A"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C4BD0" w:rsidRPr="00A04D82" w:rsidRDefault="006C4BD0" w:rsidP="006C4BD0">
            <w:pPr>
              <w:pStyle w:val="TableLeftcolumn"/>
            </w:pPr>
            <w:r w:rsidRPr="00A04D82">
              <w:t>3.5</w:t>
            </w:r>
          </w:p>
        </w:tc>
        <w:tc>
          <w:tcPr>
            <w:tcW w:w="8194" w:type="dxa"/>
            <w:tcBorders>
              <w:top w:val="nil"/>
              <w:left w:val="nil"/>
              <w:bottom w:val="nil"/>
              <w:right w:val="nil"/>
            </w:tcBorders>
            <w:shd w:val="clear" w:color="auto" w:fill="auto"/>
            <w:vAlign w:val="bottom"/>
          </w:tcPr>
          <w:p w14:paraId="1A9E4A9F" w14:textId="7D42BB65" w:rsidR="006C4BD0" w:rsidRPr="00334670" w:rsidRDefault="006C4BD0" w:rsidP="006C4BD0">
            <w:pPr>
              <w:pStyle w:val="NoSpacing"/>
            </w:pPr>
            <w:r>
              <w:rPr>
                <w:rFonts w:ascii="Open Sans Light" w:hAnsi="Open Sans Light" w:cs="Open Sans Light"/>
                <w:color w:val="000000"/>
              </w:rPr>
              <w:t>Determine cash paid for inventory and operating expenses.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C4BD0" w:rsidRPr="00ED28EF" w:rsidRDefault="006C4BD0" w:rsidP="006C4BD0">
            <w:pPr>
              <w:pStyle w:val="Tabletext"/>
              <w:rPr>
                <w:rStyle w:val="Formentry12ptopunderline"/>
              </w:rPr>
            </w:pPr>
          </w:p>
        </w:tc>
      </w:tr>
      <w:tr w:rsidR="006C4BD0" w:rsidRPr="009F713B" w14:paraId="534AEF10" w14:textId="77777777" w:rsidTr="00756493">
        <w:trPr>
          <w:trHeight w:val="20"/>
        </w:trPr>
        <w:tc>
          <w:tcPr>
            <w:tcW w:w="720" w:type="dxa"/>
          </w:tcPr>
          <w:p w14:paraId="7F5F309A" w14:textId="194B2875" w:rsidR="006C4BD0" w:rsidRPr="00A04D82" w:rsidRDefault="006C4BD0" w:rsidP="006C4BD0">
            <w:pPr>
              <w:pStyle w:val="TableLeftcolumn"/>
            </w:pPr>
            <w:r>
              <w:t>3.6</w:t>
            </w:r>
          </w:p>
        </w:tc>
        <w:tc>
          <w:tcPr>
            <w:tcW w:w="8194" w:type="dxa"/>
            <w:tcBorders>
              <w:top w:val="nil"/>
              <w:left w:val="nil"/>
              <w:bottom w:val="nil"/>
              <w:right w:val="nil"/>
            </w:tcBorders>
            <w:shd w:val="clear" w:color="auto" w:fill="auto"/>
            <w:vAlign w:val="bottom"/>
          </w:tcPr>
          <w:p w14:paraId="01D88679" w14:textId="041C0190" w:rsidR="006C4BD0" w:rsidRPr="00334670" w:rsidRDefault="006C4BD0" w:rsidP="006C4BD0">
            <w:pPr>
              <w:pStyle w:val="NoSpacing"/>
            </w:pPr>
            <w:r>
              <w:rPr>
                <w:rFonts w:ascii="Open Sans Light" w:hAnsi="Open Sans Light" w:cs="Open Sans Light"/>
                <w:color w:val="000000"/>
              </w:rPr>
              <w:t>Identify and describe the cost flow assumptions for inventory and explain the impact on the balance sheet and income statement.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AAB939D" w14:textId="77777777" w:rsidR="006C4BD0" w:rsidRPr="00ED28EF" w:rsidRDefault="006C4BD0" w:rsidP="006C4BD0">
            <w:pPr>
              <w:pStyle w:val="Tabletext"/>
              <w:rPr>
                <w:rStyle w:val="Formentry12ptopunderline"/>
              </w:rPr>
            </w:pPr>
          </w:p>
        </w:tc>
      </w:tr>
      <w:tr w:rsidR="006C4BD0" w:rsidRPr="009F713B" w14:paraId="0C4A405B"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1EBA8AE" w14:textId="1065BE3D" w:rsidR="006C4BD0" w:rsidRPr="00A04D82" w:rsidRDefault="006C4BD0" w:rsidP="006C4BD0">
            <w:pPr>
              <w:pStyle w:val="TableLeftcolumn"/>
            </w:pPr>
            <w:r>
              <w:t>3.7</w:t>
            </w:r>
          </w:p>
        </w:tc>
        <w:tc>
          <w:tcPr>
            <w:tcW w:w="8194" w:type="dxa"/>
            <w:tcBorders>
              <w:top w:val="nil"/>
              <w:left w:val="nil"/>
              <w:bottom w:val="nil"/>
              <w:right w:val="nil"/>
            </w:tcBorders>
            <w:shd w:val="clear" w:color="auto" w:fill="auto"/>
            <w:vAlign w:val="bottom"/>
          </w:tcPr>
          <w:p w14:paraId="68B2DF9E" w14:textId="4174AC22" w:rsidR="006C4BD0" w:rsidRPr="00334670" w:rsidRDefault="006C4BD0" w:rsidP="006C4BD0">
            <w:pPr>
              <w:pStyle w:val="NoSpacing"/>
            </w:pPr>
            <w:r>
              <w:rPr>
                <w:rFonts w:ascii="Open Sans Light" w:hAnsi="Open Sans Light" w:cs="Open Sans Light"/>
                <w:color w:val="000000"/>
              </w:rPr>
              <w:t>Calculate cost of goods sold and ending inventory using LIFO and FIFO inventory costing methods.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139AA62" w14:textId="77777777" w:rsidR="006C4BD0" w:rsidRPr="00ED28EF" w:rsidRDefault="006C4BD0" w:rsidP="006C4BD0">
            <w:pPr>
              <w:pStyle w:val="Tabletext"/>
              <w:rPr>
                <w:rStyle w:val="Formentry12ptopunderline"/>
              </w:rPr>
            </w:pPr>
          </w:p>
        </w:tc>
      </w:tr>
      <w:tr w:rsidR="006C4BD0" w:rsidRPr="009F713B" w14:paraId="35C603CC" w14:textId="77777777" w:rsidTr="00756493">
        <w:trPr>
          <w:trHeight w:val="20"/>
        </w:trPr>
        <w:tc>
          <w:tcPr>
            <w:tcW w:w="720" w:type="dxa"/>
          </w:tcPr>
          <w:p w14:paraId="76F9DA56" w14:textId="4D8D0F38" w:rsidR="006C4BD0" w:rsidRPr="00A04D82" w:rsidRDefault="006C4BD0" w:rsidP="006C4BD0">
            <w:pPr>
              <w:pStyle w:val="TableLeftcolumn"/>
            </w:pPr>
            <w:r>
              <w:t>3.8</w:t>
            </w:r>
          </w:p>
        </w:tc>
        <w:tc>
          <w:tcPr>
            <w:tcW w:w="8194" w:type="dxa"/>
            <w:tcBorders>
              <w:top w:val="nil"/>
              <w:left w:val="nil"/>
              <w:bottom w:val="nil"/>
              <w:right w:val="nil"/>
            </w:tcBorders>
            <w:shd w:val="clear" w:color="auto" w:fill="auto"/>
            <w:vAlign w:val="bottom"/>
          </w:tcPr>
          <w:p w14:paraId="6A3A1A76" w14:textId="33FC5E62" w:rsidR="006C4BD0" w:rsidRPr="00334670" w:rsidRDefault="006C4BD0" w:rsidP="006C4BD0">
            <w:pPr>
              <w:pStyle w:val="NoSpacing"/>
            </w:pPr>
            <w:r>
              <w:rPr>
                <w:rFonts w:ascii="Open Sans Light" w:hAnsi="Open Sans Light" w:cs="Open Sans Light"/>
                <w:color w:val="000000"/>
              </w:rPr>
              <w:t>Explain how inventory for a manufacturing business differs from inventory for a merchandising business.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161F92" w14:textId="77777777" w:rsidR="006C4BD0" w:rsidRPr="00ED28EF" w:rsidRDefault="006C4BD0" w:rsidP="006C4BD0">
            <w:pPr>
              <w:pStyle w:val="Tabletext"/>
              <w:rPr>
                <w:rStyle w:val="Formentry12ptopunderline"/>
              </w:rPr>
            </w:pPr>
          </w:p>
        </w:tc>
      </w:tr>
      <w:tr w:rsidR="006C4BD0" w:rsidRPr="009F713B" w14:paraId="7FDCDB27"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060908B" w14:textId="5A293887" w:rsidR="006C4BD0" w:rsidRPr="00A04D82" w:rsidRDefault="006C4BD0" w:rsidP="006C4BD0">
            <w:pPr>
              <w:pStyle w:val="TableLeftcolumn"/>
            </w:pPr>
            <w:r>
              <w:t>3.9</w:t>
            </w:r>
          </w:p>
        </w:tc>
        <w:tc>
          <w:tcPr>
            <w:tcW w:w="8194" w:type="dxa"/>
            <w:tcBorders>
              <w:top w:val="nil"/>
              <w:left w:val="nil"/>
              <w:bottom w:val="nil"/>
              <w:right w:val="nil"/>
            </w:tcBorders>
            <w:shd w:val="clear" w:color="auto" w:fill="auto"/>
            <w:vAlign w:val="bottom"/>
          </w:tcPr>
          <w:p w14:paraId="1395DFEB" w14:textId="73BD9AC2" w:rsidR="006C4BD0" w:rsidRPr="00334670" w:rsidRDefault="006C4BD0" w:rsidP="006C4BD0">
            <w:pPr>
              <w:pStyle w:val="NoSpacing"/>
            </w:pPr>
            <w:r>
              <w:rPr>
                <w:rFonts w:ascii="Open Sans Light" w:hAnsi="Open Sans Light" w:cs="Open Sans Light"/>
                <w:color w:val="000000"/>
              </w:rPr>
              <w:t>Explain how an activity-based costing system operates, including the identification of activity cost pools, and the selection of cost drivers.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BBEF6B" w14:textId="77777777" w:rsidR="006C4BD0" w:rsidRPr="00ED28EF" w:rsidRDefault="006C4BD0" w:rsidP="006C4BD0">
            <w:pPr>
              <w:pStyle w:val="Tabletext"/>
              <w:rPr>
                <w:rStyle w:val="Formentry12ptopunderline"/>
              </w:rPr>
            </w:pPr>
          </w:p>
        </w:tc>
      </w:tr>
      <w:tr w:rsidR="006C4BD0" w:rsidRPr="009F713B" w14:paraId="7169EE7D" w14:textId="77777777" w:rsidTr="00756493">
        <w:trPr>
          <w:trHeight w:val="20"/>
        </w:trPr>
        <w:tc>
          <w:tcPr>
            <w:tcW w:w="720" w:type="dxa"/>
          </w:tcPr>
          <w:p w14:paraId="31F6CEE2" w14:textId="4DF16D1F" w:rsidR="006C4BD0" w:rsidRPr="00A04D82" w:rsidRDefault="006C4BD0" w:rsidP="006C4BD0">
            <w:pPr>
              <w:pStyle w:val="TableLeftcolumn"/>
            </w:pPr>
            <w:r>
              <w:t>3.10</w:t>
            </w:r>
          </w:p>
        </w:tc>
        <w:tc>
          <w:tcPr>
            <w:tcW w:w="8194" w:type="dxa"/>
            <w:tcBorders>
              <w:top w:val="nil"/>
              <w:left w:val="nil"/>
              <w:bottom w:val="nil"/>
              <w:right w:val="nil"/>
            </w:tcBorders>
            <w:shd w:val="clear" w:color="auto" w:fill="auto"/>
            <w:vAlign w:val="bottom"/>
          </w:tcPr>
          <w:p w14:paraId="646B791C" w14:textId="4BE6F76B" w:rsidR="006C4BD0" w:rsidRPr="00334670" w:rsidRDefault="006C4BD0" w:rsidP="006C4BD0">
            <w:pPr>
              <w:pStyle w:val="NoSpacing"/>
            </w:pPr>
            <w:r>
              <w:rPr>
                <w:rFonts w:ascii="Open Sans Light" w:hAnsi="Open Sans Light" w:cs="Open Sans Light"/>
                <w:color w:val="000000"/>
              </w:rPr>
              <w:t>Explain the flow of costs through the manufacturing accounts used in product costing.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A120C2E" w14:textId="77777777" w:rsidR="006C4BD0" w:rsidRPr="00ED28EF" w:rsidRDefault="006C4BD0" w:rsidP="006C4BD0">
            <w:pPr>
              <w:pStyle w:val="Tabletext"/>
              <w:rPr>
                <w:rStyle w:val="Formentry12ptopunderline"/>
              </w:rPr>
            </w:pPr>
          </w:p>
        </w:tc>
      </w:tr>
      <w:tr w:rsidR="006C4BD0" w:rsidRPr="009F713B" w14:paraId="70B9D567"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E0DDC5" w14:textId="13DF8751" w:rsidR="006C4BD0" w:rsidRPr="00A04D82" w:rsidRDefault="006C4BD0" w:rsidP="006C4BD0">
            <w:pPr>
              <w:pStyle w:val="TableLeftcolumn"/>
            </w:pPr>
            <w:r>
              <w:t>3.11</w:t>
            </w:r>
          </w:p>
        </w:tc>
        <w:tc>
          <w:tcPr>
            <w:tcW w:w="8194" w:type="dxa"/>
            <w:tcBorders>
              <w:top w:val="nil"/>
              <w:left w:val="nil"/>
              <w:bottom w:val="nil"/>
              <w:right w:val="nil"/>
            </w:tcBorders>
            <w:shd w:val="clear" w:color="auto" w:fill="auto"/>
            <w:vAlign w:val="bottom"/>
          </w:tcPr>
          <w:p w14:paraId="5CA8C8B3" w14:textId="76AE8FEC" w:rsidR="006C4BD0" w:rsidRPr="00334670" w:rsidRDefault="006C4BD0" w:rsidP="006C4BD0">
            <w:pPr>
              <w:pStyle w:val="NoSpacing"/>
            </w:pPr>
            <w:r>
              <w:rPr>
                <w:rFonts w:ascii="Open Sans Light" w:hAnsi="Open Sans Light" w:cs="Open Sans Light"/>
                <w:color w:val="000000"/>
              </w:rPr>
              <w:t>Compute a predetermined overhead rate, and explain its use in job-order costing.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2857B6" w14:textId="77777777" w:rsidR="006C4BD0" w:rsidRPr="00ED28EF" w:rsidRDefault="006C4BD0" w:rsidP="006C4BD0">
            <w:pPr>
              <w:pStyle w:val="Tabletext"/>
              <w:rPr>
                <w:rStyle w:val="Formentry12ptopunderline"/>
              </w:rPr>
            </w:pPr>
          </w:p>
        </w:tc>
      </w:tr>
      <w:tr w:rsidR="006C4BD0" w:rsidRPr="009F713B" w14:paraId="6A61D343" w14:textId="77777777" w:rsidTr="00756493">
        <w:trPr>
          <w:trHeight w:val="20"/>
        </w:trPr>
        <w:tc>
          <w:tcPr>
            <w:tcW w:w="720" w:type="dxa"/>
          </w:tcPr>
          <w:p w14:paraId="455DE6DD" w14:textId="2AB44DF5" w:rsidR="006C4BD0" w:rsidRPr="00A04D82" w:rsidRDefault="006C4BD0" w:rsidP="006C4BD0">
            <w:pPr>
              <w:pStyle w:val="TableLeftcolumn"/>
            </w:pPr>
            <w:r>
              <w:t>3.12</w:t>
            </w:r>
          </w:p>
        </w:tc>
        <w:tc>
          <w:tcPr>
            <w:tcW w:w="8194" w:type="dxa"/>
            <w:tcBorders>
              <w:top w:val="nil"/>
              <w:left w:val="nil"/>
              <w:bottom w:val="nil"/>
              <w:right w:val="nil"/>
            </w:tcBorders>
            <w:shd w:val="clear" w:color="auto" w:fill="auto"/>
            <w:vAlign w:val="bottom"/>
          </w:tcPr>
          <w:p w14:paraId="3E6E87FF" w14:textId="21D43896" w:rsidR="006C4BD0" w:rsidRPr="00334670" w:rsidRDefault="006C4BD0" w:rsidP="006C4BD0">
            <w:pPr>
              <w:pStyle w:val="NoSpacing"/>
            </w:pPr>
            <w:r>
              <w:rPr>
                <w:rFonts w:ascii="Open Sans Light" w:hAnsi="Open Sans Light" w:cs="Open Sans Light"/>
                <w:color w:val="000000"/>
              </w:rPr>
              <w:t>Determine whether manufacturing overhead is over/under-applied.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1642811" w14:textId="77777777" w:rsidR="006C4BD0" w:rsidRPr="00ED28EF" w:rsidRDefault="006C4BD0" w:rsidP="006C4BD0">
            <w:pPr>
              <w:pStyle w:val="Tabletext"/>
              <w:rPr>
                <w:rStyle w:val="Formentry12ptopunderline"/>
              </w:rPr>
            </w:pPr>
          </w:p>
        </w:tc>
      </w:tr>
      <w:tr w:rsidR="006C4BD0" w:rsidRPr="009F713B" w14:paraId="458FCA30" w14:textId="77777777" w:rsidTr="0075649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53EE53B" w14:textId="45CB1F0D" w:rsidR="006C4BD0" w:rsidRPr="00A04D82" w:rsidRDefault="006C4BD0" w:rsidP="006C4BD0">
            <w:pPr>
              <w:pStyle w:val="TableLeftcolumn"/>
            </w:pPr>
            <w:r>
              <w:t>3.13</w:t>
            </w:r>
          </w:p>
        </w:tc>
        <w:tc>
          <w:tcPr>
            <w:tcW w:w="8194" w:type="dxa"/>
            <w:tcBorders>
              <w:top w:val="nil"/>
              <w:left w:val="nil"/>
              <w:bottom w:val="nil"/>
              <w:right w:val="nil"/>
            </w:tcBorders>
            <w:shd w:val="clear" w:color="auto" w:fill="auto"/>
            <w:vAlign w:val="bottom"/>
          </w:tcPr>
          <w:p w14:paraId="18ECF11C" w14:textId="658BA30A" w:rsidR="006C4BD0" w:rsidRPr="00334670" w:rsidRDefault="006C4BD0" w:rsidP="006C4BD0">
            <w:pPr>
              <w:pStyle w:val="NoSpacing"/>
            </w:pPr>
            <w:r>
              <w:rPr>
                <w:rFonts w:ascii="Open Sans Light" w:hAnsi="Open Sans Light" w:cs="Open Sans Light"/>
                <w:color w:val="000000"/>
              </w:rPr>
              <w:t>Prepare journal entries to record the costs of direct material, direct labor, and manufacturing overhead in a job-order costing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EA8F7E" w14:textId="77777777" w:rsidR="006C4BD0" w:rsidRPr="00ED28EF" w:rsidRDefault="006C4BD0" w:rsidP="006C4BD0">
            <w:pPr>
              <w:pStyle w:val="Tabletext"/>
              <w:rPr>
                <w:rStyle w:val="Formentry12ptopunderline"/>
              </w:rPr>
            </w:pPr>
          </w:p>
        </w:tc>
      </w:tr>
      <w:tr w:rsidR="006C4BD0" w:rsidRPr="009F713B" w14:paraId="2DEAF0E1" w14:textId="77777777" w:rsidTr="00756493">
        <w:trPr>
          <w:trHeight w:val="20"/>
        </w:trPr>
        <w:tc>
          <w:tcPr>
            <w:tcW w:w="720" w:type="dxa"/>
          </w:tcPr>
          <w:p w14:paraId="1B389FAB" w14:textId="6308E27B" w:rsidR="006C4BD0" w:rsidRPr="00A04D82" w:rsidRDefault="006C4BD0" w:rsidP="006C4BD0">
            <w:pPr>
              <w:pStyle w:val="TableLeftcolumn"/>
            </w:pPr>
            <w:r>
              <w:t>3.14</w:t>
            </w:r>
          </w:p>
        </w:tc>
        <w:tc>
          <w:tcPr>
            <w:tcW w:w="8194" w:type="dxa"/>
            <w:tcBorders>
              <w:top w:val="nil"/>
              <w:left w:val="nil"/>
              <w:bottom w:val="nil"/>
              <w:right w:val="nil"/>
            </w:tcBorders>
            <w:shd w:val="clear" w:color="auto" w:fill="auto"/>
            <w:vAlign w:val="bottom"/>
          </w:tcPr>
          <w:p w14:paraId="665215FF" w14:textId="38FA9A97" w:rsidR="006C4BD0" w:rsidRPr="00334670" w:rsidRDefault="006C4BD0" w:rsidP="006C4BD0">
            <w:pPr>
              <w:pStyle w:val="NoSpacing"/>
            </w:pPr>
            <w:r>
              <w:rPr>
                <w:rFonts w:ascii="Open Sans Light" w:hAnsi="Open Sans Light" w:cs="Open Sans Light"/>
                <w:color w:val="000000"/>
              </w:rPr>
              <w:t>Prepare a schedule of cost of goods manufactured, a schedule of cost of goods sold, and an income statement for a manufacturer.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22BE49" w14:textId="77777777" w:rsidR="006C4BD0" w:rsidRPr="00ED28EF" w:rsidRDefault="006C4BD0" w:rsidP="006C4BD0">
            <w:pPr>
              <w:pStyle w:val="Tabletext"/>
              <w:rPr>
                <w:rStyle w:val="Formentry12ptopunderline"/>
              </w:rPr>
            </w:pPr>
          </w:p>
        </w:tc>
      </w:tr>
    </w:tbl>
    <w:p w14:paraId="2CFE93E8" w14:textId="2ABB1AF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C4BD0" w:rsidRPr="006C4BD0">
            <w:t>Introduction to Taxes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976120F" w:rsidR="00E515C8" w:rsidRPr="006C4BD0" w:rsidRDefault="006C4BD0" w:rsidP="006C4BD0">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Calculate payroll taxes.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07CAC921"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ADF2EB671B994EA9B662F1BCF61548AC"/>
          </w:placeholder>
        </w:sdtPr>
        <w:sdtEndPr/>
        <w:sdtContent>
          <w:r w:rsidR="006C4BD0" w:rsidRPr="006C4BD0">
            <w:t>Accounting for Sales and Accounts Receivable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C4BD0" w:rsidRPr="00E515C8" w14:paraId="29310968" w14:textId="77777777" w:rsidTr="00F57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C4BD0" w:rsidRPr="00C41189" w:rsidRDefault="006C4BD0" w:rsidP="006C4BD0">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1434C492" w:rsidR="006C4BD0" w:rsidRPr="00E515C8"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criteria used to determine revenue recognition.</w:t>
            </w:r>
          </w:p>
        </w:tc>
        <w:tc>
          <w:tcPr>
            <w:tcW w:w="878" w:type="dxa"/>
            <w:tcBorders>
              <w:bottom w:val="single" w:sz="8" w:space="0" w:color="auto"/>
            </w:tcBorders>
            <w:vAlign w:val="bottom"/>
          </w:tcPr>
          <w:p w14:paraId="34F80052" w14:textId="77777777" w:rsidR="006C4BD0" w:rsidRPr="00E515C8"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E515C8" w14:paraId="5381B8FD" w14:textId="77777777" w:rsidTr="00F5790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C4BD0" w:rsidRPr="00C41189" w:rsidRDefault="006C4BD0" w:rsidP="006C4BD0">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765C405" w:rsidR="006C4BD0" w:rsidRPr="00E515C8"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revenue-related transactions.</w:t>
            </w:r>
          </w:p>
        </w:tc>
        <w:tc>
          <w:tcPr>
            <w:tcW w:w="878" w:type="dxa"/>
            <w:tcBorders>
              <w:top w:val="single" w:sz="8" w:space="0" w:color="auto"/>
              <w:bottom w:val="single" w:sz="8" w:space="0" w:color="auto"/>
            </w:tcBorders>
            <w:vAlign w:val="bottom"/>
          </w:tcPr>
          <w:p w14:paraId="6F560EC6" w14:textId="77777777" w:rsidR="006C4BD0" w:rsidRPr="00E515C8"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r w:rsidR="006C4BD0" w:rsidRPr="00E515C8" w14:paraId="624527A4" w14:textId="77777777" w:rsidTr="00F579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C4BD0" w:rsidRPr="00C41189" w:rsidRDefault="006C4BD0" w:rsidP="006C4BD0">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61DC963" w:rsidR="006C4BD0" w:rsidRPr="00E515C8"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accounting methods used to determine the value of accounts receivable to be reported on the balance sheet and describe the effect on the income statement.</w:t>
            </w:r>
          </w:p>
        </w:tc>
        <w:tc>
          <w:tcPr>
            <w:tcW w:w="878" w:type="dxa"/>
            <w:tcBorders>
              <w:top w:val="single" w:sz="8" w:space="0" w:color="auto"/>
              <w:bottom w:val="single" w:sz="8" w:space="0" w:color="auto"/>
            </w:tcBorders>
            <w:vAlign w:val="bottom"/>
          </w:tcPr>
          <w:p w14:paraId="4D4EC76B" w14:textId="77777777" w:rsidR="006C4BD0" w:rsidRPr="00E515C8"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E515C8" w14:paraId="390EB565" w14:textId="77777777" w:rsidTr="00F5790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C4BD0" w:rsidRPr="00C41189" w:rsidRDefault="006C4BD0" w:rsidP="006C4BD0">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FC39F13" w:rsidR="006C4BD0" w:rsidRPr="00E515C8"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transactions for accounts receivable, including uncollectible accounts, write-offs, and recoveries.</w:t>
            </w:r>
          </w:p>
        </w:tc>
        <w:tc>
          <w:tcPr>
            <w:tcW w:w="878" w:type="dxa"/>
            <w:tcBorders>
              <w:top w:val="single" w:sz="8" w:space="0" w:color="auto"/>
              <w:bottom w:val="single" w:sz="8" w:space="0" w:color="auto"/>
            </w:tcBorders>
            <w:vAlign w:val="bottom"/>
          </w:tcPr>
          <w:p w14:paraId="7719EFBA" w14:textId="77777777" w:rsidR="006C4BD0" w:rsidRPr="00E515C8"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1D6253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6E83888A8C394484AA0A101E345A6311"/>
          </w:placeholder>
        </w:sdtPr>
        <w:sdtEndPr/>
        <w:sdtContent>
          <w:r w:rsidR="006C4BD0" w:rsidRPr="006C4BD0">
            <w:t>Time Value of Money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5B50DC42" w:rsidR="00292DE4" w:rsidRPr="006C4BD0" w:rsidRDefault="006C4BD0" w:rsidP="006C4BD0">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Determine the present value and future value cash flows.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3855DE2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23E9679E3E482E96CCF638DAEF155B"/>
          </w:placeholder>
        </w:sdtPr>
        <w:sdtEndPr/>
        <w:sdtContent>
          <w:r w:rsidR="006C4BD0" w:rsidRPr="006C4BD0">
            <w:t>Accounting for Fixed Assets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C4BD0" w:rsidRPr="00292DE4" w14:paraId="5D6B4AC9" w14:textId="77777777" w:rsidTr="002D6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C4BD0" w:rsidRPr="00C41189" w:rsidRDefault="006C4BD0" w:rsidP="006C4BD0">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1D047E5" w:rsidR="006C4BD0" w:rsidRPr="00292DE4"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net present value concepts to make investment decisions.</w:t>
            </w:r>
          </w:p>
        </w:tc>
        <w:tc>
          <w:tcPr>
            <w:tcW w:w="878" w:type="dxa"/>
            <w:tcBorders>
              <w:left w:val="nil"/>
              <w:bottom w:val="single" w:sz="8" w:space="0" w:color="auto"/>
              <w:right w:val="nil"/>
            </w:tcBorders>
            <w:vAlign w:val="bottom"/>
          </w:tcPr>
          <w:p w14:paraId="61282DA0" w14:textId="77777777" w:rsidR="006C4BD0" w:rsidRPr="00292DE4"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292DE4" w14:paraId="145D1A16" w14:textId="77777777" w:rsidTr="002D68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C4BD0" w:rsidRPr="00C41189" w:rsidRDefault="006C4BD0" w:rsidP="006C4BD0">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7E62CEEA" w:rsidR="006C4BD0" w:rsidRPr="00292DE4"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purpose and methods of cost allocation.</w:t>
            </w:r>
          </w:p>
        </w:tc>
        <w:tc>
          <w:tcPr>
            <w:tcW w:w="878" w:type="dxa"/>
            <w:tcBorders>
              <w:top w:val="single" w:sz="8" w:space="0" w:color="auto"/>
              <w:left w:val="nil"/>
              <w:bottom w:val="single" w:sz="8" w:space="0" w:color="auto"/>
              <w:right w:val="nil"/>
            </w:tcBorders>
            <w:vAlign w:val="bottom"/>
          </w:tcPr>
          <w:p w14:paraId="289FC534" w14:textId="77777777" w:rsidR="006C4BD0" w:rsidRPr="00292DE4"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r w:rsidR="006C4BD0" w:rsidRPr="00292DE4" w14:paraId="5014FA48" w14:textId="77777777" w:rsidTr="002D6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C4BD0" w:rsidRPr="00C41189" w:rsidRDefault="006C4BD0" w:rsidP="006C4BD0">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2FA8E616" w:rsidR="006C4BD0" w:rsidRPr="00292DE4"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and record depreciation, depletion and amortization and explain the impact on the financial statements.</w:t>
            </w:r>
          </w:p>
        </w:tc>
        <w:tc>
          <w:tcPr>
            <w:tcW w:w="878" w:type="dxa"/>
            <w:tcBorders>
              <w:top w:val="single" w:sz="8" w:space="0" w:color="auto"/>
              <w:left w:val="nil"/>
              <w:bottom w:val="single" w:sz="8" w:space="0" w:color="auto"/>
              <w:right w:val="nil"/>
            </w:tcBorders>
            <w:vAlign w:val="bottom"/>
          </w:tcPr>
          <w:p w14:paraId="5A1AC56E" w14:textId="77777777" w:rsidR="006C4BD0" w:rsidRPr="00292DE4"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292DE4" w14:paraId="1DBBF301" w14:textId="77777777" w:rsidTr="002D68A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C4BD0" w:rsidRPr="00C41189" w:rsidRDefault="006C4BD0" w:rsidP="006C4BD0">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7D8FB63A" w:rsidR="006C4BD0" w:rsidRPr="00292DE4"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the sale and disposal of fixed assets and the impact on the financial statements.</w:t>
            </w:r>
          </w:p>
        </w:tc>
        <w:tc>
          <w:tcPr>
            <w:tcW w:w="878" w:type="dxa"/>
            <w:tcBorders>
              <w:top w:val="single" w:sz="8" w:space="0" w:color="auto"/>
              <w:left w:val="nil"/>
              <w:bottom w:val="single" w:sz="8" w:space="0" w:color="auto"/>
              <w:right w:val="nil"/>
            </w:tcBorders>
            <w:vAlign w:val="bottom"/>
          </w:tcPr>
          <w:p w14:paraId="6B5E5A52" w14:textId="77777777" w:rsidR="006C4BD0" w:rsidRPr="00292DE4"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D3CFEB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1EF7F3A7A23A4E06A31F4204EBD6519C"/>
          </w:placeholder>
        </w:sdtPr>
        <w:sdtEndPr/>
        <w:sdtContent>
          <w:r w:rsidR="006C4BD0" w:rsidRPr="006C4BD0">
            <w:t>Accounting for Debt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C4BD0" w:rsidRPr="004E0952" w14:paraId="3BBCA8A8" w14:textId="77777777" w:rsidTr="00D36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C4BD0" w:rsidRPr="001C6C73" w:rsidRDefault="006C4BD0" w:rsidP="006C4BD0">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296C7508" w:rsidR="006C4BD0" w:rsidRPr="00C41189" w:rsidRDefault="006C4BD0" w:rsidP="006C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debt and equity financing.</w:t>
            </w:r>
          </w:p>
        </w:tc>
        <w:tc>
          <w:tcPr>
            <w:tcW w:w="878" w:type="dxa"/>
            <w:tcBorders>
              <w:bottom w:val="single" w:sz="8" w:space="0" w:color="auto"/>
            </w:tcBorders>
          </w:tcPr>
          <w:p w14:paraId="16510C5C" w14:textId="2276B5FA"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p>
        </w:tc>
      </w:tr>
      <w:tr w:rsidR="006C4BD0" w:rsidRPr="004E0952" w14:paraId="7CD9E6B3" w14:textId="77777777" w:rsidTr="00D3696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C4BD0" w:rsidRPr="001C6C73" w:rsidRDefault="006C4BD0" w:rsidP="006C4BD0">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40D28009"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calculate TIE (Times-interest-earned ratio).</w:t>
            </w:r>
          </w:p>
        </w:tc>
        <w:tc>
          <w:tcPr>
            <w:tcW w:w="878" w:type="dxa"/>
            <w:tcBorders>
              <w:top w:val="single" w:sz="8" w:space="0" w:color="auto"/>
              <w:bottom w:val="single" w:sz="8" w:space="0" w:color="auto"/>
            </w:tcBorders>
          </w:tcPr>
          <w:p w14:paraId="5487206F" w14:textId="7416E9B5"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p>
        </w:tc>
      </w:tr>
      <w:tr w:rsidR="006C4BD0" w:rsidRPr="004E0952" w14:paraId="5ED2D150" w14:textId="77777777" w:rsidTr="00D36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C4BD0" w:rsidRPr="001C6C73" w:rsidRDefault="006C4BD0" w:rsidP="006C4BD0">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6686A1B9"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a periodic payment note payable, a lump-sum note payable, and a periodic and lump-sum note payable.</w:t>
            </w:r>
          </w:p>
        </w:tc>
        <w:tc>
          <w:tcPr>
            <w:tcW w:w="878" w:type="dxa"/>
            <w:tcBorders>
              <w:top w:val="single" w:sz="8" w:space="0" w:color="auto"/>
              <w:bottom w:val="single" w:sz="8" w:space="0" w:color="auto"/>
            </w:tcBorders>
          </w:tcPr>
          <w:p w14:paraId="2F0E0FA7" w14:textId="48DA09E3"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p>
        </w:tc>
      </w:tr>
      <w:tr w:rsidR="006C4BD0" w:rsidRPr="004E0952" w14:paraId="6E7FDB36" w14:textId="77777777" w:rsidTr="00D3696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6C4BD0" w:rsidRPr="001C6C73" w:rsidRDefault="006C4BD0" w:rsidP="006C4BD0">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55F728D9"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the carrying value, interest expense and cash payment for note payable (periodic payment, lump-sum, periodic and lump-sum) transactions</w:t>
            </w:r>
          </w:p>
        </w:tc>
        <w:tc>
          <w:tcPr>
            <w:tcW w:w="878" w:type="dxa"/>
            <w:tcBorders>
              <w:top w:val="single" w:sz="8" w:space="0" w:color="auto"/>
              <w:bottom w:val="single" w:sz="8" w:space="0" w:color="auto"/>
            </w:tcBorders>
          </w:tcPr>
          <w:p w14:paraId="5B0EC792" w14:textId="741CFF4B"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p>
        </w:tc>
      </w:tr>
      <w:tr w:rsidR="006C4BD0" w:rsidRPr="004E0952" w14:paraId="527E7517" w14:textId="77777777" w:rsidTr="00D36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6C4BD0" w:rsidRPr="001C6C73" w:rsidRDefault="006C4BD0" w:rsidP="006C4BD0">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05E6E33A"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transactions for notes payable: issuance and interest expense</w:t>
            </w:r>
          </w:p>
        </w:tc>
        <w:tc>
          <w:tcPr>
            <w:tcW w:w="878" w:type="dxa"/>
            <w:tcBorders>
              <w:top w:val="single" w:sz="8" w:space="0" w:color="auto"/>
              <w:bottom w:val="single" w:sz="8" w:space="0" w:color="auto"/>
            </w:tcBorders>
          </w:tcPr>
          <w:p w14:paraId="361D2EE4" w14:textId="7F44B725"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p>
        </w:tc>
      </w:tr>
      <w:tr w:rsidR="006C4BD0" w:rsidRPr="004E0952" w14:paraId="797AE339" w14:textId="77777777" w:rsidTr="00D3696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C89230" w14:textId="525EE01C" w:rsidR="006C4BD0" w:rsidRPr="006E3D51" w:rsidRDefault="006C4BD0" w:rsidP="006C4BD0">
            <w:pPr>
              <w:pStyle w:val="NoSpacing"/>
            </w:pPr>
            <w:r>
              <w:t>8.6</w:t>
            </w:r>
          </w:p>
        </w:tc>
        <w:tc>
          <w:tcPr>
            <w:tcW w:w="8194" w:type="dxa"/>
            <w:tcBorders>
              <w:top w:val="nil"/>
              <w:left w:val="nil"/>
              <w:bottom w:val="nil"/>
              <w:right w:val="nil"/>
            </w:tcBorders>
            <w:shd w:val="clear" w:color="auto" w:fill="auto"/>
            <w:vAlign w:val="bottom"/>
          </w:tcPr>
          <w:p w14:paraId="069CDA9D" w14:textId="05A7EC1C"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transactions for bonds issued at face value, a premium and a discount.</w:t>
            </w:r>
          </w:p>
        </w:tc>
        <w:tc>
          <w:tcPr>
            <w:tcW w:w="878" w:type="dxa"/>
            <w:tcBorders>
              <w:top w:val="single" w:sz="8" w:space="0" w:color="auto"/>
              <w:bottom w:val="single" w:sz="8" w:space="0" w:color="auto"/>
            </w:tcBorders>
          </w:tcPr>
          <w:p w14:paraId="4A7B5BBB" w14:textId="77777777" w:rsidR="006C4BD0" w:rsidRPr="004E0952" w:rsidRDefault="006C4BD0" w:rsidP="006C4BD0">
            <w:pPr>
              <w:pStyle w:val="NoSpacing"/>
              <w:cnfStyle w:val="000000000000" w:firstRow="0" w:lastRow="0" w:firstColumn="0" w:lastColumn="0" w:oddVBand="0" w:evenVBand="0" w:oddHBand="0" w:evenHBand="0" w:firstRowFirstColumn="0" w:firstRowLastColumn="0" w:lastRowFirstColumn="0" w:lastRowLastColumn="0"/>
            </w:pPr>
          </w:p>
        </w:tc>
      </w:tr>
      <w:tr w:rsidR="006C4BD0" w:rsidRPr="004E0952" w14:paraId="515DF12F" w14:textId="77777777" w:rsidTr="00D369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0B38065" w14:textId="683CF195" w:rsidR="006C4BD0" w:rsidRPr="006E3D51" w:rsidRDefault="006C4BD0" w:rsidP="006C4BD0">
            <w:pPr>
              <w:pStyle w:val="NoSpacing"/>
            </w:pPr>
            <w:r>
              <w:t>8.7</w:t>
            </w:r>
          </w:p>
        </w:tc>
        <w:tc>
          <w:tcPr>
            <w:tcW w:w="8194" w:type="dxa"/>
            <w:tcBorders>
              <w:top w:val="nil"/>
              <w:left w:val="nil"/>
              <w:bottom w:val="nil"/>
              <w:right w:val="nil"/>
            </w:tcBorders>
            <w:shd w:val="clear" w:color="auto" w:fill="auto"/>
            <w:vAlign w:val="bottom"/>
          </w:tcPr>
          <w:p w14:paraId="41517B7B" w14:textId="16199EF4"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interest expense for bonds issued at face value, a premium and a discount using the straightline method and effective-interest meth</w:t>
            </w:r>
          </w:p>
        </w:tc>
        <w:tc>
          <w:tcPr>
            <w:tcW w:w="878" w:type="dxa"/>
            <w:tcBorders>
              <w:top w:val="single" w:sz="8" w:space="0" w:color="auto"/>
              <w:bottom w:val="single" w:sz="8" w:space="0" w:color="auto"/>
            </w:tcBorders>
          </w:tcPr>
          <w:p w14:paraId="6DFB00E3" w14:textId="77777777" w:rsidR="006C4BD0" w:rsidRPr="004E0952" w:rsidRDefault="006C4BD0" w:rsidP="006C4BD0">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867FEE4"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3B68441FE9145939D1CCDC176536595"/>
          </w:placeholder>
        </w:sdtPr>
        <w:sdtEndPr/>
        <w:sdtContent>
          <w:r w:rsidR="006C4BD0" w:rsidRPr="006C4BD0">
            <w:t>Accounting for Stockholder’s Equity</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C4BD0" w:rsidRPr="004E0952" w14:paraId="4952E7BC" w14:textId="77777777" w:rsidTr="00BA396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C4BD0" w:rsidRPr="00C22ECE" w:rsidRDefault="006C4BD0" w:rsidP="006C4BD0">
            <w:pPr>
              <w:pStyle w:val="TableLeftcolumn"/>
            </w:pPr>
            <w:r w:rsidRPr="00C22ECE">
              <w:t>9.1</w:t>
            </w:r>
          </w:p>
        </w:tc>
        <w:tc>
          <w:tcPr>
            <w:tcW w:w="8194" w:type="dxa"/>
            <w:tcBorders>
              <w:top w:val="nil"/>
              <w:left w:val="nil"/>
              <w:bottom w:val="nil"/>
              <w:right w:val="nil"/>
            </w:tcBorders>
            <w:shd w:val="clear" w:color="auto" w:fill="auto"/>
            <w:vAlign w:val="bottom"/>
          </w:tcPr>
          <w:p w14:paraId="07A1D5F2" w14:textId="28AA5B8A" w:rsidR="006C4BD0" w:rsidRPr="004E0952"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the different classes of stock and explain the rights afforded each class of stock.</w:t>
            </w:r>
          </w:p>
        </w:tc>
        <w:tc>
          <w:tcPr>
            <w:tcW w:w="878" w:type="dxa"/>
            <w:tcBorders>
              <w:bottom w:val="single" w:sz="8" w:space="0" w:color="auto"/>
            </w:tcBorders>
            <w:vAlign w:val="bottom"/>
          </w:tcPr>
          <w:p w14:paraId="6699637A" w14:textId="549B0EB3" w:rsidR="006C4BD0" w:rsidRPr="004E0952"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r w:rsidR="006C4BD0" w:rsidRPr="004E0952" w14:paraId="5B999C21" w14:textId="77777777" w:rsidTr="00BA3962">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6C4BD0" w:rsidRPr="00C22ECE" w:rsidRDefault="006C4BD0" w:rsidP="006C4BD0">
            <w:pPr>
              <w:pStyle w:val="TableLeftcolumn"/>
            </w:pPr>
            <w:r w:rsidRPr="00C22ECE">
              <w:t>9.2</w:t>
            </w:r>
          </w:p>
        </w:tc>
        <w:tc>
          <w:tcPr>
            <w:tcW w:w="8194" w:type="dxa"/>
            <w:tcBorders>
              <w:top w:val="nil"/>
              <w:left w:val="nil"/>
              <w:bottom w:val="nil"/>
              <w:right w:val="nil"/>
            </w:tcBorders>
            <w:shd w:val="clear" w:color="auto" w:fill="auto"/>
            <w:vAlign w:val="bottom"/>
          </w:tcPr>
          <w:p w14:paraId="31DB423B" w14:textId="2A86855E" w:rsidR="006C4BD0" w:rsidRPr="004E0952" w:rsidRDefault="006C4BD0" w:rsidP="006C4BD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difference between cash dividends, stock dividends and stock splits, and the impact on the financial statements.</w:t>
            </w:r>
          </w:p>
        </w:tc>
        <w:tc>
          <w:tcPr>
            <w:tcW w:w="878" w:type="dxa"/>
            <w:tcBorders>
              <w:top w:val="single" w:sz="8" w:space="0" w:color="auto"/>
              <w:bottom w:val="single" w:sz="8" w:space="0" w:color="auto"/>
            </w:tcBorders>
            <w:vAlign w:val="bottom"/>
          </w:tcPr>
          <w:p w14:paraId="43889565" w14:textId="5B8FD226" w:rsidR="006C4BD0" w:rsidRPr="004E0952" w:rsidRDefault="006C4BD0" w:rsidP="006C4BD0">
            <w:pPr>
              <w:pStyle w:val="Tabletext"/>
              <w:cnfStyle w:val="000000000000" w:firstRow="0" w:lastRow="0" w:firstColumn="0" w:lastColumn="0" w:oddVBand="0" w:evenVBand="0" w:oddHBand="0" w:evenHBand="0" w:firstRowFirstColumn="0" w:firstRowLastColumn="0" w:lastRowFirstColumn="0" w:lastRowLastColumn="0"/>
            </w:pPr>
          </w:p>
        </w:tc>
      </w:tr>
      <w:tr w:rsidR="006C4BD0" w:rsidRPr="004E0952" w14:paraId="43CC6320" w14:textId="77777777" w:rsidTr="00BA396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6C4BD0" w:rsidRPr="00C22ECE" w:rsidRDefault="006C4BD0" w:rsidP="006C4BD0">
            <w:pPr>
              <w:pStyle w:val="TableLeftcolumn"/>
            </w:pPr>
            <w:r w:rsidRPr="00C22ECE">
              <w:t>9.3</w:t>
            </w:r>
          </w:p>
        </w:tc>
        <w:tc>
          <w:tcPr>
            <w:tcW w:w="8194" w:type="dxa"/>
            <w:tcBorders>
              <w:top w:val="nil"/>
              <w:left w:val="nil"/>
              <w:bottom w:val="nil"/>
              <w:right w:val="nil"/>
            </w:tcBorders>
            <w:shd w:val="clear" w:color="auto" w:fill="auto"/>
            <w:vAlign w:val="bottom"/>
          </w:tcPr>
          <w:p w14:paraId="4C1F969A" w14:textId="05B71E86" w:rsidR="006C4BD0" w:rsidRPr="004E0952" w:rsidRDefault="006C4BD0" w:rsidP="006C4BD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stock transactions: contributions by owners, corporate distributions (dividends), and the reacquisition of company stock.</w:t>
            </w:r>
          </w:p>
        </w:tc>
        <w:tc>
          <w:tcPr>
            <w:tcW w:w="878" w:type="dxa"/>
            <w:tcBorders>
              <w:top w:val="single" w:sz="8" w:space="0" w:color="auto"/>
              <w:bottom w:val="single" w:sz="8" w:space="0" w:color="auto"/>
            </w:tcBorders>
            <w:vAlign w:val="bottom"/>
          </w:tcPr>
          <w:p w14:paraId="72E16E7B" w14:textId="42E17EDC" w:rsidR="006C4BD0" w:rsidRPr="004E0952" w:rsidRDefault="006C4BD0" w:rsidP="006C4BD0">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34EB7AFE"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77F32C5E6C34178B4F99545FFBC1AA3"/>
          </w:placeholder>
        </w:sdtPr>
        <w:sdtEndPr/>
        <w:sdtContent>
          <w:r w:rsidR="006C4BD0" w:rsidRPr="006C4BD0">
            <w:t>Financial Statements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75857" w:rsidRPr="004E0952" w14:paraId="67A87E7E" w14:textId="77777777" w:rsidTr="00531D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E75857" w:rsidRPr="001C6C73" w:rsidRDefault="00E75857" w:rsidP="00E75857">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4F0CAA8"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information provided in an income statement, and the purpose of an income statement.</w:t>
            </w:r>
          </w:p>
        </w:tc>
        <w:tc>
          <w:tcPr>
            <w:tcW w:w="878" w:type="dxa"/>
            <w:tcBorders>
              <w:bottom w:val="single" w:sz="8" w:space="0" w:color="auto"/>
            </w:tcBorders>
            <w:vAlign w:val="bottom"/>
          </w:tcPr>
          <w:p w14:paraId="7F55E44C" w14:textId="448ACC78"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739811AC" w14:textId="77777777" w:rsidTr="00531D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E75857" w:rsidRPr="001C6C73" w:rsidRDefault="00E75857" w:rsidP="00E75857">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049B8BA4"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 income statement</w:t>
            </w:r>
          </w:p>
        </w:tc>
        <w:tc>
          <w:tcPr>
            <w:tcW w:w="878" w:type="dxa"/>
            <w:tcBorders>
              <w:top w:val="single" w:sz="8" w:space="0" w:color="auto"/>
              <w:bottom w:val="single" w:sz="8" w:space="0" w:color="auto"/>
            </w:tcBorders>
            <w:vAlign w:val="bottom"/>
          </w:tcPr>
          <w:p w14:paraId="7CFD619F" w14:textId="3ED680D1"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18399BD" w14:textId="77777777" w:rsidTr="00531D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E75857" w:rsidRPr="001C6C73" w:rsidRDefault="00E75857" w:rsidP="00E75857">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E48C8AD"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difference in net income and income from continuing operations (discontinued operations, extraordinary items).</w:t>
            </w:r>
          </w:p>
        </w:tc>
        <w:tc>
          <w:tcPr>
            <w:tcW w:w="878" w:type="dxa"/>
            <w:tcBorders>
              <w:top w:val="single" w:sz="8" w:space="0" w:color="auto"/>
              <w:bottom w:val="single" w:sz="8" w:space="0" w:color="auto"/>
            </w:tcBorders>
            <w:vAlign w:val="bottom"/>
          </w:tcPr>
          <w:p w14:paraId="72326F4A" w14:textId="08177661"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1C0D4772" w14:textId="77777777" w:rsidTr="00531D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E75857" w:rsidRPr="001C6C73" w:rsidRDefault="00E75857" w:rsidP="00E75857">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2947743C"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information provided in a balance sheet and statement of equity, and the purpose of a balance sheet and statement of equity.</w:t>
            </w:r>
          </w:p>
        </w:tc>
        <w:tc>
          <w:tcPr>
            <w:tcW w:w="878" w:type="dxa"/>
            <w:tcBorders>
              <w:top w:val="single" w:sz="8" w:space="0" w:color="auto"/>
              <w:bottom w:val="single" w:sz="8" w:space="0" w:color="auto"/>
            </w:tcBorders>
            <w:vAlign w:val="bottom"/>
          </w:tcPr>
          <w:p w14:paraId="0963AB5D" w14:textId="00E28F43"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6967CEA2" w14:textId="77777777" w:rsidTr="00531D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E75857" w:rsidRPr="001C6C73" w:rsidRDefault="00E75857" w:rsidP="00E75857">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3542DE0A"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balance sheet and statement of equity.</w:t>
            </w:r>
          </w:p>
        </w:tc>
        <w:tc>
          <w:tcPr>
            <w:tcW w:w="878" w:type="dxa"/>
            <w:tcBorders>
              <w:top w:val="single" w:sz="8" w:space="0" w:color="auto"/>
              <w:bottom w:val="single" w:sz="8" w:space="0" w:color="auto"/>
            </w:tcBorders>
            <w:vAlign w:val="bottom"/>
          </w:tcPr>
          <w:p w14:paraId="42D1B6BC" w14:textId="63AE124F"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1C749590" w14:textId="77777777" w:rsidTr="00531D9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D9E142A" w14:textId="45B61123" w:rsidR="00E75857" w:rsidRPr="007D5200" w:rsidRDefault="00E75857" w:rsidP="00E75857">
            <w:pPr>
              <w:pStyle w:val="NoSpacing"/>
            </w:pPr>
            <w:r>
              <w:t>10.6</w:t>
            </w:r>
          </w:p>
        </w:tc>
        <w:tc>
          <w:tcPr>
            <w:tcW w:w="8194" w:type="dxa"/>
            <w:tcBorders>
              <w:top w:val="nil"/>
              <w:left w:val="nil"/>
              <w:bottom w:val="nil"/>
              <w:right w:val="nil"/>
            </w:tcBorders>
            <w:shd w:val="clear" w:color="auto" w:fill="auto"/>
            <w:vAlign w:val="bottom"/>
          </w:tcPr>
          <w:p w14:paraId="14787E4E" w14:textId="614D00F8"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information provided in statement of cash flows, and the purpose of a statement of cash flows.</w:t>
            </w:r>
          </w:p>
        </w:tc>
        <w:tc>
          <w:tcPr>
            <w:tcW w:w="878" w:type="dxa"/>
            <w:tcBorders>
              <w:top w:val="single" w:sz="8" w:space="0" w:color="auto"/>
              <w:bottom w:val="single" w:sz="8" w:space="0" w:color="auto"/>
            </w:tcBorders>
            <w:vAlign w:val="bottom"/>
          </w:tcPr>
          <w:p w14:paraId="6D923127"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371E886D" w14:textId="77777777" w:rsidTr="00531D9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E70767" w14:textId="0A8B4C9D" w:rsidR="00E75857" w:rsidRPr="007D5200" w:rsidRDefault="00E75857" w:rsidP="00E75857">
            <w:pPr>
              <w:pStyle w:val="NoSpacing"/>
            </w:pPr>
            <w:r>
              <w:t>10.7</w:t>
            </w:r>
          </w:p>
        </w:tc>
        <w:tc>
          <w:tcPr>
            <w:tcW w:w="8194" w:type="dxa"/>
            <w:tcBorders>
              <w:top w:val="nil"/>
              <w:left w:val="nil"/>
              <w:bottom w:val="nil"/>
              <w:right w:val="nil"/>
            </w:tcBorders>
            <w:shd w:val="clear" w:color="auto" w:fill="auto"/>
            <w:vAlign w:val="bottom"/>
          </w:tcPr>
          <w:p w14:paraId="3813ACB2" w14:textId="622B140A"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statement of cash flows using the direct method.</w:t>
            </w:r>
          </w:p>
        </w:tc>
        <w:tc>
          <w:tcPr>
            <w:tcW w:w="878" w:type="dxa"/>
            <w:tcBorders>
              <w:top w:val="single" w:sz="8" w:space="0" w:color="auto"/>
              <w:bottom w:val="single" w:sz="8" w:space="0" w:color="auto"/>
            </w:tcBorders>
            <w:vAlign w:val="bottom"/>
          </w:tcPr>
          <w:p w14:paraId="65D4FDEE" w14:textId="77777777"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1C440261"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2198E1CB578541CDA2BA2345300DB9F2"/>
          </w:placeholder>
        </w:sdtPr>
        <w:sdtEndPr/>
        <w:sdtContent>
          <w:r w:rsidR="00E75857" w:rsidRPr="00E75857">
            <w:t>Cost-Volume-Profit Analysis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75857" w:rsidRPr="004E0952" w14:paraId="57276F28"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E75857" w:rsidRPr="001C6C73" w:rsidRDefault="00E75857" w:rsidP="00E75857">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58E90EEE"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activities in the three operating processes.</w:t>
            </w:r>
          </w:p>
        </w:tc>
        <w:tc>
          <w:tcPr>
            <w:tcW w:w="878" w:type="dxa"/>
            <w:tcBorders>
              <w:bottom w:val="single" w:sz="8" w:space="0" w:color="auto"/>
            </w:tcBorders>
            <w:vAlign w:val="bottom"/>
          </w:tcPr>
          <w:p w14:paraId="31D80E31" w14:textId="2E0AAA38"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2E40BB5B"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E75857" w:rsidRPr="001C6C73" w:rsidRDefault="00E75857" w:rsidP="00E75857">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7FEEA41D"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explain variable costs, fixed costs, and mixed costs.</w:t>
            </w:r>
          </w:p>
        </w:tc>
        <w:tc>
          <w:tcPr>
            <w:tcW w:w="878" w:type="dxa"/>
            <w:tcBorders>
              <w:top w:val="single" w:sz="8" w:space="0" w:color="auto"/>
              <w:bottom w:val="single" w:sz="8" w:space="0" w:color="auto"/>
            </w:tcBorders>
            <w:vAlign w:val="bottom"/>
          </w:tcPr>
          <w:p w14:paraId="545E4EE4" w14:textId="198BA6BC"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F506C73"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E75857" w:rsidRPr="001C6C73" w:rsidRDefault="00E75857" w:rsidP="00E75857">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011ADCB5"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high-low analysis to determine variable costs, fixed costs, and mixed costs.</w:t>
            </w:r>
          </w:p>
        </w:tc>
        <w:tc>
          <w:tcPr>
            <w:tcW w:w="878" w:type="dxa"/>
            <w:tcBorders>
              <w:top w:val="single" w:sz="8" w:space="0" w:color="auto"/>
              <w:bottom w:val="single" w:sz="8" w:space="0" w:color="auto"/>
            </w:tcBorders>
            <w:vAlign w:val="bottom"/>
          </w:tcPr>
          <w:p w14:paraId="15393D83" w14:textId="3CA12729"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5274BF4C"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E75857" w:rsidRPr="001C6C73" w:rsidRDefault="00E75857" w:rsidP="00E75857">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7E91BC14"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break-even point and perform costvolume-profit (CVP) ana</w:t>
            </w:r>
          </w:p>
        </w:tc>
        <w:tc>
          <w:tcPr>
            <w:tcW w:w="878" w:type="dxa"/>
            <w:tcBorders>
              <w:top w:val="single" w:sz="8" w:space="0" w:color="auto"/>
              <w:bottom w:val="single" w:sz="8" w:space="0" w:color="auto"/>
            </w:tcBorders>
            <w:vAlign w:val="bottom"/>
          </w:tcPr>
          <w:p w14:paraId="6730ECF1" w14:textId="12415343"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12AD7AB"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E75857" w:rsidRPr="001C6C73" w:rsidRDefault="00E75857" w:rsidP="00E75857">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37E9518A"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sensitivity analysis to CVP analysis.</w:t>
            </w:r>
          </w:p>
        </w:tc>
        <w:tc>
          <w:tcPr>
            <w:tcW w:w="878" w:type="dxa"/>
            <w:tcBorders>
              <w:top w:val="single" w:sz="8" w:space="0" w:color="auto"/>
              <w:bottom w:val="single" w:sz="8" w:space="0" w:color="auto"/>
            </w:tcBorders>
            <w:vAlign w:val="bottom"/>
          </w:tcPr>
          <w:p w14:paraId="3820444A" w14:textId="1A330D0D"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5EA38153"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17C829" w14:textId="162A21F1" w:rsidR="00E75857" w:rsidRPr="00E8165C" w:rsidRDefault="00E75857" w:rsidP="00E75857">
            <w:pPr>
              <w:pStyle w:val="NoSpacing"/>
            </w:pPr>
            <w:r>
              <w:t>11.6</w:t>
            </w:r>
          </w:p>
        </w:tc>
        <w:tc>
          <w:tcPr>
            <w:tcW w:w="8194" w:type="dxa"/>
            <w:tcBorders>
              <w:top w:val="nil"/>
              <w:left w:val="nil"/>
              <w:bottom w:val="nil"/>
              <w:right w:val="nil"/>
            </w:tcBorders>
            <w:shd w:val="clear" w:color="auto" w:fill="auto"/>
            <w:vAlign w:val="bottom"/>
          </w:tcPr>
          <w:p w14:paraId="1066A4CA" w14:textId="0CE9ED55"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selling price using sensitivity analysis and CVP analysis.</w:t>
            </w:r>
          </w:p>
        </w:tc>
        <w:tc>
          <w:tcPr>
            <w:tcW w:w="878" w:type="dxa"/>
            <w:tcBorders>
              <w:top w:val="single" w:sz="8" w:space="0" w:color="auto"/>
              <w:bottom w:val="single" w:sz="8" w:space="0" w:color="auto"/>
            </w:tcBorders>
            <w:vAlign w:val="bottom"/>
          </w:tcPr>
          <w:p w14:paraId="4CCC8F55"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1FE9A1D"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E28C97" w14:textId="0ADF5490" w:rsidR="00E75857" w:rsidRPr="00E8165C" w:rsidRDefault="00E75857" w:rsidP="00E75857">
            <w:pPr>
              <w:pStyle w:val="NoSpacing"/>
            </w:pPr>
            <w:r>
              <w:t>11.7</w:t>
            </w:r>
          </w:p>
        </w:tc>
        <w:tc>
          <w:tcPr>
            <w:tcW w:w="8194" w:type="dxa"/>
            <w:tcBorders>
              <w:top w:val="nil"/>
              <w:left w:val="nil"/>
              <w:bottom w:val="nil"/>
              <w:right w:val="nil"/>
            </w:tcBorders>
            <w:shd w:val="clear" w:color="auto" w:fill="auto"/>
            <w:vAlign w:val="bottom"/>
          </w:tcPr>
          <w:p w14:paraId="3A384ED4" w14:textId="05429353"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process of determining selling prices and demonstrate how various strategies are used to determine selling price.</w:t>
            </w:r>
          </w:p>
        </w:tc>
        <w:tc>
          <w:tcPr>
            <w:tcW w:w="878" w:type="dxa"/>
            <w:tcBorders>
              <w:top w:val="single" w:sz="8" w:space="0" w:color="auto"/>
              <w:bottom w:val="single" w:sz="8" w:space="0" w:color="auto"/>
            </w:tcBorders>
            <w:vAlign w:val="bottom"/>
          </w:tcPr>
          <w:p w14:paraId="1D34E9EB" w14:textId="77777777"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4BA77AB0"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8C10F3B" w14:textId="6EE17D9A" w:rsidR="00E75857" w:rsidRPr="00E8165C" w:rsidRDefault="00E75857" w:rsidP="00E75857">
            <w:pPr>
              <w:pStyle w:val="NoSpacing"/>
            </w:pPr>
            <w:r>
              <w:t>11.8</w:t>
            </w:r>
          </w:p>
        </w:tc>
        <w:tc>
          <w:tcPr>
            <w:tcW w:w="8194" w:type="dxa"/>
            <w:tcBorders>
              <w:top w:val="nil"/>
              <w:left w:val="nil"/>
              <w:bottom w:val="nil"/>
              <w:right w:val="nil"/>
            </w:tcBorders>
            <w:shd w:val="clear" w:color="auto" w:fill="auto"/>
            <w:vAlign w:val="bottom"/>
          </w:tcPr>
          <w:p w14:paraId="7171FEBB" w14:textId="661A888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differences among product and nonproduct costs.</w:t>
            </w:r>
          </w:p>
        </w:tc>
        <w:tc>
          <w:tcPr>
            <w:tcW w:w="878" w:type="dxa"/>
            <w:tcBorders>
              <w:top w:val="single" w:sz="8" w:space="0" w:color="auto"/>
              <w:bottom w:val="single" w:sz="8" w:space="0" w:color="auto"/>
            </w:tcBorders>
            <w:vAlign w:val="bottom"/>
          </w:tcPr>
          <w:p w14:paraId="3D4643E5"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32FBC8C0"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D71CF0" w14:textId="4FB3256F" w:rsidR="00E75857" w:rsidRPr="00E8165C" w:rsidRDefault="00E75857" w:rsidP="00E75857">
            <w:pPr>
              <w:pStyle w:val="NoSpacing"/>
            </w:pPr>
            <w:r>
              <w:t>11.9</w:t>
            </w:r>
          </w:p>
        </w:tc>
        <w:tc>
          <w:tcPr>
            <w:tcW w:w="8194" w:type="dxa"/>
            <w:tcBorders>
              <w:top w:val="nil"/>
              <w:left w:val="nil"/>
              <w:bottom w:val="nil"/>
              <w:right w:val="nil"/>
            </w:tcBorders>
            <w:shd w:val="clear" w:color="auto" w:fill="auto"/>
            <w:vAlign w:val="bottom"/>
          </w:tcPr>
          <w:p w14:paraId="0B7E03A0" w14:textId="22F497C9"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explain product costs: direct/indirect materials, direct/indirect labor, manufacturing overhead.</w:t>
            </w:r>
          </w:p>
        </w:tc>
        <w:tc>
          <w:tcPr>
            <w:tcW w:w="878" w:type="dxa"/>
            <w:tcBorders>
              <w:top w:val="single" w:sz="8" w:space="0" w:color="auto"/>
              <w:bottom w:val="single" w:sz="8" w:space="0" w:color="auto"/>
            </w:tcBorders>
            <w:vAlign w:val="bottom"/>
          </w:tcPr>
          <w:p w14:paraId="7C5DBBD5" w14:textId="77777777"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144B3A05"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3C7DA1D" w14:textId="7B1C8734" w:rsidR="00E75857" w:rsidRPr="00E8165C" w:rsidRDefault="00E75857" w:rsidP="00E75857">
            <w:pPr>
              <w:pStyle w:val="NoSpacing"/>
            </w:pPr>
            <w:r>
              <w:t>11.10</w:t>
            </w:r>
          </w:p>
        </w:tc>
        <w:tc>
          <w:tcPr>
            <w:tcW w:w="8194" w:type="dxa"/>
            <w:tcBorders>
              <w:top w:val="nil"/>
              <w:left w:val="nil"/>
              <w:bottom w:val="nil"/>
              <w:right w:val="nil"/>
            </w:tcBorders>
            <w:shd w:val="clear" w:color="auto" w:fill="auto"/>
            <w:vAlign w:val="bottom"/>
          </w:tcPr>
          <w:p w14:paraId="250747C1" w14:textId="1C6FAD59"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Record direct materials and direct labor transactions.</w:t>
            </w:r>
          </w:p>
        </w:tc>
        <w:tc>
          <w:tcPr>
            <w:tcW w:w="878" w:type="dxa"/>
            <w:tcBorders>
              <w:top w:val="single" w:sz="8" w:space="0" w:color="auto"/>
              <w:bottom w:val="single" w:sz="8" w:space="0" w:color="auto"/>
            </w:tcBorders>
            <w:vAlign w:val="bottom"/>
          </w:tcPr>
          <w:p w14:paraId="235879F4"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1C7839F2" w14:textId="77777777" w:rsidTr="00E5631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031A9E" w14:textId="390C31F3" w:rsidR="00E75857" w:rsidRPr="00E8165C" w:rsidRDefault="00E75857" w:rsidP="00E75857">
            <w:pPr>
              <w:pStyle w:val="NoSpacing"/>
            </w:pPr>
            <w:r>
              <w:t>11.11</w:t>
            </w:r>
          </w:p>
        </w:tc>
        <w:tc>
          <w:tcPr>
            <w:tcW w:w="8194" w:type="dxa"/>
            <w:tcBorders>
              <w:top w:val="nil"/>
              <w:left w:val="nil"/>
              <w:bottom w:val="nil"/>
              <w:right w:val="nil"/>
            </w:tcBorders>
            <w:shd w:val="clear" w:color="auto" w:fill="auto"/>
            <w:vAlign w:val="bottom"/>
          </w:tcPr>
          <w:p w14:paraId="3A2100A8" w14:textId="0359F312"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a make-or-buy decision.</w:t>
            </w:r>
          </w:p>
        </w:tc>
        <w:tc>
          <w:tcPr>
            <w:tcW w:w="878" w:type="dxa"/>
            <w:tcBorders>
              <w:top w:val="single" w:sz="8" w:space="0" w:color="auto"/>
              <w:bottom w:val="single" w:sz="8" w:space="0" w:color="auto"/>
            </w:tcBorders>
            <w:vAlign w:val="bottom"/>
          </w:tcPr>
          <w:p w14:paraId="1F22FE08" w14:textId="77777777"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3A935287" w14:textId="77777777" w:rsidTr="00E5631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443E7E" w14:textId="2678DB53" w:rsidR="00E75857" w:rsidRPr="00E8165C" w:rsidRDefault="00E75857" w:rsidP="00E75857">
            <w:pPr>
              <w:pStyle w:val="NoSpacing"/>
            </w:pPr>
            <w:r>
              <w:t>11.12</w:t>
            </w:r>
          </w:p>
        </w:tc>
        <w:tc>
          <w:tcPr>
            <w:tcW w:w="8194" w:type="dxa"/>
            <w:tcBorders>
              <w:top w:val="nil"/>
              <w:left w:val="nil"/>
              <w:bottom w:val="nil"/>
              <w:right w:val="nil"/>
            </w:tcBorders>
            <w:shd w:val="clear" w:color="auto" w:fill="auto"/>
            <w:vAlign w:val="bottom"/>
          </w:tcPr>
          <w:p w14:paraId="361E51CC" w14:textId="2CCEB4CF"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process of determining selling prices and demonstrate how various strategies are used to determine selling price.</w:t>
            </w:r>
          </w:p>
        </w:tc>
        <w:tc>
          <w:tcPr>
            <w:tcW w:w="878" w:type="dxa"/>
            <w:tcBorders>
              <w:top w:val="single" w:sz="8" w:space="0" w:color="auto"/>
              <w:bottom w:val="single" w:sz="8" w:space="0" w:color="auto"/>
            </w:tcBorders>
            <w:vAlign w:val="bottom"/>
          </w:tcPr>
          <w:p w14:paraId="4434D9C6" w14:textId="77777777"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727253F6"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0A994426F6FC49C7B50873E04141ADF3"/>
          </w:placeholder>
        </w:sdtPr>
        <w:sdtEndPr/>
        <w:sdtContent>
          <w:r w:rsidR="00E75857" w:rsidRPr="00E75857">
            <w:t>Summary of Ratios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75857" w:rsidRPr="004E0952" w14:paraId="5DDF78B5" w14:textId="77777777" w:rsidTr="000A004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E75857" w:rsidRPr="001C6C73" w:rsidRDefault="00E75857" w:rsidP="00E75857">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6037E85E"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a company’s profitability by calculating: Return on sales (Net profit margin); Earnings per share (EPS); DuPont ROI (ROA); and ROE (Return on Equity).</w:t>
            </w:r>
          </w:p>
        </w:tc>
        <w:tc>
          <w:tcPr>
            <w:tcW w:w="878" w:type="dxa"/>
            <w:tcBorders>
              <w:bottom w:val="single" w:sz="8" w:space="0" w:color="auto"/>
            </w:tcBorders>
            <w:vAlign w:val="bottom"/>
          </w:tcPr>
          <w:p w14:paraId="4E82AE5F" w14:textId="30A1B4B8"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r w:rsidR="00E75857" w:rsidRPr="004E0952" w14:paraId="3D475209" w14:textId="77777777" w:rsidTr="000A004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E75857" w:rsidRPr="001C6C73" w:rsidRDefault="00E75857" w:rsidP="00E75857">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5BDA5283"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Assess a company’s liquidity and solvency by calculating: Current ratio; Operating cycle: Inventory turnover in days and accounts receivable turnover in days.</w:t>
            </w:r>
          </w:p>
        </w:tc>
        <w:tc>
          <w:tcPr>
            <w:tcW w:w="878" w:type="dxa"/>
            <w:tcBorders>
              <w:top w:val="single" w:sz="8" w:space="0" w:color="auto"/>
              <w:bottom w:val="single" w:sz="8" w:space="0" w:color="auto"/>
            </w:tcBorders>
            <w:vAlign w:val="bottom"/>
          </w:tcPr>
          <w:p w14:paraId="0CF958A3" w14:textId="15A33871" w:rsidR="00E75857" w:rsidRPr="004E0952" w:rsidRDefault="00E75857" w:rsidP="00E75857">
            <w:pPr>
              <w:pStyle w:val="NoSpacing"/>
              <w:cnfStyle w:val="000000000000" w:firstRow="0" w:lastRow="0" w:firstColumn="0" w:lastColumn="0" w:oddVBand="0" w:evenVBand="0" w:oddHBand="0" w:evenHBand="0" w:firstRowFirstColumn="0" w:firstRowLastColumn="0" w:lastRowFirstColumn="0" w:lastRowLastColumn="0"/>
            </w:pPr>
          </w:p>
        </w:tc>
      </w:tr>
      <w:tr w:rsidR="00E75857" w:rsidRPr="004E0952" w14:paraId="64065AAA" w14:textId="77777777" w:rsidTr="000A004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E75857" w:rsidRPr="001C6C73" w:rsidRDefault="00E75857" w:rsidP="00E75857">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619C572F"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a company’s debt position and ability to pay interest by calculating: Debt-equity ratio and TIE (Times-interest-earned ratio).</w:t>
            </w:r>
          </w:p>
        </w:tc>
        <w:tc>
          <w:tcPr>
            <w:tcW w:w="878" w:type="dxa"/>
            <w:tcBorders>
              <w:top w:val="single" w:sz="8" w:space="0" w:color="auto"/>
              <w:bottom w:val="single" w:sz="8" w:space="0" w:color="auto"/>
            </w:tcBorders>
            <w:vAlign w:val="bottom"/>
          </w:tcPr>
          <w:p w14:paraId="10FA364B" w14:textId="134B073A" w:rsidR="00E75857" w:rsidRPr="004E0952" w:rsidRDefault="00E75857" w:rsidP="00E75857">
            <w:pPr>
              <w:pStyle w:val="NoSpacing"/>
              <w:cnfStyle w:val="000000100000" w:firstRow="0" w:lastRow="0" w:firstColumn="0" w:lastColumn="0" w:oddVBand="0" w:evenVBand="0" w:oddHBand="1" w:evenHBand="0" w:firstRowFirstColumn="0" w:firstRowLastColumn="0" w:lastRowFirstColumn="0" w:lastRowLastColumn="0"/>
            </w:pPr>
          </w:p>
        </w:tc>
      </w:tr>
    </w:tbl>
    <w:p w14:paraId="41B3004F" w14:textId="77777777" w:rsidR="00E75857" w:rsidRDefault="00E75857" w:rsidP="00C41189">
      <w:pPr>
        <w:pStyle w:val="NoSpacing"/>
      </w:pPr>
    </w:p>
    <w:p w14:paraId="5F1FAA8C" w14:textId="50860D2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007BAE0" w:rsidR="004E0952" w:rsidRPr="00202D35" w:rsidRDefault="00C04E41"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6989393" w:rsidR="004E0952" w:rsidRPr="00202D35" w:rsidRDefault="00C04E41"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4CEE6A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04E41">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EEF5A9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C4BD0">
      <w:rPr>
        <w:rStyle w:val="Strong"/>
      </w:rPr>
      <w:t>College Accounting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C4BD0">
      <w:rPr>
        <w:rStyle w:val="Strong"/>
      </w:rPr>
      <w:t>33109</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4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04E41"/>
    <w:rsid w:val="00C22ECE"/>
    <w:rsid w:val="00C41189"/>
    <w:rsid w:val="00C763C1"/>
    <w:rsid w:val="00C943C0"/>
    <w:rsid w:val="00CB5B81"/>
    <w:rsid w:val="00CC1C7A"/>
    <w:rsid w:val="00CE62B8"/>
    <w:rsid w:val="00D53139"/>
    <w:rsid w:val="00D65B58"/>
    <w:rsid w:val="00E31DC3"/>
    <w:rsid w:val="00E358DD"/>
    <w:rsid w:val="00E3707B"/>
    <w:rsid w:val="00E37A38"/>
    <w:rsid w:val="00E515C8"/>
    <w:rsid w:val="00E75857"/>
    <w:rsid w:val="00E779FD"/>
    <w:rsid w:val="00EA1143"/>
    <w:rsid w:val="00EB487C"/>
    <w:rsid w:val="00ED28EF"/>
    <w:rsid w:val="00F00245"/>
    <w:rsid w:val="00F67233"/>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5807">
      <w:bodyDiv w:val="1"/>
      <w:marLeft w:val="0"/>
      <w:marRight w:val="0"/>
      <w:marTop w:val="0"/>
      <w:marBottom w:val="0"/>
      <w:divBdr>
        <w:top w:val="none" w:sz="0" w:space="0" w:color="auto"/>
        <w:left w:val="none" w:sz="0" w:space="0" w:color="auto"/>
        <w:bottom w:val="none" w:sz="0" w:space="0" w:color="auto"/>
        <w:right w:val="none" w:sz="0" w:space="0" w:color="auto"/>
      </w:divBdr>
    </w:div>
    <w:div w:id="120737498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4605657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71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601CF" w:rsidRDefault="00F601CF" w:rsidP="00F601CF">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601CF" w:rsidRDefault="00F601CF" w:rsidP="00F601CF">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601CF" w:rsidRDefault="00F601CF" w:rsidP="00F601CF">
          <w:pPr>
            <w:pStyle w:val="7C5C3CF53E9C43488E686E31AAB5B2111"/>
          </w:pPr>
          <w:r w:rsidRPr="00364F6B">
            <w:rPr>
              <w:rStyle w:val="PlaceholderText"/>
            </w:rPr>
            <w:t>Click or tap here to enter text.</w:t>
          </w:r>
        </w:p>
      </w:docPartBody>
    </w:docPart>
    <w:docPart>
      <w:docPartPr>
        <w:name w:val="86136ED8C5AB45238B8F55AB75DD2ED4"/>
        <w:category>
          <w:name w:val="General"/>
          <w:gallery w:val="placeholder"/>
        </w:category>
        <w:types>
          <w:type w:val="bbPlcHdr"/>
        </w:types>
        <w:behaviors>
          <w:behavior w:val="content"/>
        </w:behaviors>
        <w:guid w:val="{E7774085-359F-43D1-B284-D26B92C533E7}"/>
      </w:docPartPr>
      <w:docPartBody>
        <w:p w:rsidR="00CF6DE4" w:rsidRDefault="00F601CF" w:rsidP="00F601CF">
          <w:pPr>
            <w:pStyle w:val="86136ED8C5AB45238B8F55AB75DD2ED4"/>
          </w:pPr>
          <w:r w:rsidRPr="00364F6B">
            <w:rPr>
              <w:rStyle w:val="PlaceholderText"/>
            </w:rPr>
            <w:t>Click or tap here to enter text.</w:t>
          </w:r>
        </w:p>
      </w:docPartBody>
    </w:docPart>
    <w:docPart>
      <w:docPartPr>
        <w:name w:val="ADF2EB671B994EA9B662F1BCF61548AC"/>
        <w:category>
          <w:name w:val="General"/>
          <w:gallery w:val="placeholder"/>
        </w:category>
        <w:types>
          <w:type w:val="bbPlcHdr"/>
        </w:types>
        <w:behaviors>
          <w:behavior w:val="content"/>
        </w:behaviors>
        <w:guid w:val="{B3E867E1-D0CA-41FE-A889-90956A2FC150}"/>
      </w:docPartPr>
      <w:docPartBody>
        <w:p w:rsidR="00CF6DE4" w:rsidRDefault="00F601CF" w:rsidP="00F601CF">
          <w:pPr>
            <w:pStyle w:val="ADF2EB671B994EA9B662F1BCF61548AC"/>
          </w:pPr>
          <w:r w:rsidRPr="00364F6B">
            <w:rPr>
              <w:rStyle w:val="PlaceholderText"/>
            </w:rPr>
            <w:t>Click or tap here to enter text.</w:t>
          </w:r>
        </w:p>
      </w:docPartBody>
    </w:docPart>
    <w:docPart>
      <w:docPartPr>
        <w:name w:val="6E83888A8C394484AA0A101E345A6311"/>
        <w:category>
          <w:name w:val="General"/>
          <w:gallery w:val="placeholder"/>
        </w:category>
        <w:types>
          <w:type w:val="bbPlcHdr"/>
        </w:types>
        <w:behaviors>
          <w:behavior w:val="content"/>
        </w:behaviors>
        <w:guid w:val="{B1055A91-4283-4AC5-9C07-ECC33193B5CE}"/>
      </w:docPartPr>
      <w:docPartBody>
        <w:p w:rsidR="00CF6DE4" w:rsidRDefault="00F601CF" w:rsidP="00F601CF">
          <w:pPr>
            <w:pStyle w:val="6E83888A8C394484AA0A101E345A6311"/>
          </w:pPr>
          <w:r w:rsidRPr="00364F6B">
            <w:rPr>
              <w:rStyle w:val="PlaceholderText"/>
            </w:rPr>
            <w:t>Click or tap here to enter text.</w:t>
          </w:r>
        </w:p>
      </w:docPartBody>
    </w:docPart>
    <w:docPart>
      <w:docPartPr>
        <w:name w:val="DF23E9679E3E482E96CCF638DAEF155B"/>
        <w:category>
          <w:name w:val="General"/>
          <w:gallery w:val="placeholder"/>
        </w:category>
        <w:types>
          <w:type w:val="bbPlcHdr"/>
        </w:types>
        <w:behaviors>
          <w:behavior w:val="content"/>
        </w:behaviors>
        <w:guid w:val="{A62D80E7-8CF1-4FF3-86D5-9D42804D5D22}"/>
      </w:docPartPr>
      <w:docPartBody>
        <w:p w:rsidR="00CF6DE4" w:rsidRDefault="00F601CF" w:rsidP="00F601CF">
          <w:pPr>
            <w:pStyle w:val="DF23E9679E3E482E96CCF638DAEF155B"/>
          </w:pPr>
          <w:r w:rsidRPr="00364F6B">
            <w:rPr>
              <w:rStyle w:val="PlaceholderText"/>
            </w:rPr>
            <w:t>Click or tap here to enter text.</w:t>
          </w:r>
        </w:p>
      </w:docPartBody>
    </w:docPart>
    <w:docPart>
      <w:docPartPr>
        <w:name w:val="1EF7F3A7A23A4E06A31F4204EBD6519C"/>
        <w:category>
          <w:name w:val="General"/>
          <w:gallery w:val="placeholder"/>
        </w:category>
        <w:types>
          <w:type w:val="bbPlcHdr"/>
        </w:types>
        <w:behaviors>
          <w:behavior w:val="content"/>
        </w:behaviors>
        <w:guid w:val="{B8256867-2EC3-4273-9B3B-ED27284D5884}"/>
      </w:docPartPr>
      <w:docPartBody>
        <w:p w:rsidR="00CF6DE4" w:rsidRDefault="00F601CF" w:rsidP="00F601CF">
          <w:pPr>
            <w:pStyle w:val="1EF7F3A7A23A4E06A31F4204EBD6519C"/>
          </w:pPr>
          <w:r w:rsidRPr="00364F6B">
            <w:rPr>
              <w:rStyle w:val="PlaceholderText"/>
            </w:rPr>
            <w:t>Click or tap here to enter text.</w:t>
          </w:r>
        </w:p>
      </w:docPartBody>
    </w:docPart>
    <w:docPart>
      <w:docPartPr>
        <w:name w:val="43B68441FE9145939D1CCDC176536595"/>
        <w:category>
          <w:name w:val="General"/>
          <w:gallery w:val="placeholder"/>
        </w:category>
        <w:types>
          <w:type w:val="bbPlcHdr"/>
        </w:types>
        <w:behaviors>
          <w:behavior w:val="content"/>
        </w:behaviors>
        <w:guid w:val="{D702E894-A4EF-493C-85DE-9ACA740B901D}"/>
      </w:docPartPr>
      <w:docPartBody>
        <w:p w:rsidR="00CF6DE4" w:rsidRDefault="00F601CF" w:rsidP="00F601CF">
          <w:pPr>
            <w:pStyle w:val="43B68441FE9145939D1CCDC176536595"/>
          </w:pPr>
          <w:r w:rsidRPr="00364F6B">
            <w:rPr>
              <w:rStyle w:val="PlaceholderText"/>
            </w:rPr>
            <w:t>Click or tap here to enter text.</w:t>
          </w:r>
        </w:p>
      </w:docPartBody>
    </w:docPart>
    <w:docPart>
      <w:docPartPr>
        <w:name w:val="677F32C5E6C34178B4F99545FFBC1AA3"/>
        <w:category>
          <w:name w:val="General"/>
          <w:gallery w:val="placeholder"/>
        </w:category>
        <w:types>
          <w:type w:val="bbPlcHdr"/>
        </w:types>
        <w:behaviors>
          <w:behavior w:val="content"/>
        </w:behaviors>
        <w:guid w:val="{21CB732A-F310-42A4-A7AB-062FF8709857}"/>
      </w:docPartPr>
      <w:docPartBody>
        <w:p w:rsidR="00CF6DE4" w:rsidRDefault="00F601CF" w:rsidP="00F601CF">
          <w:pPr>
            <w:pStyle w:val="677F32C5E6C34178B4F99545FFBC1AA3"/>
          </w:pPr>
          <w:r w:rsidRPr="00364F6B">
            <w:rPr>
              <w:rStyle w:val="PlaceholderText"/>
            </w:rPr>
            <w:t>Click or tap here to enter text.</w:t>
          </w:r>
        </w:p>
      </w:docPartBody>
    </w:docPart>
    <w:docPart>
      <w:docPartPr>
        <w:name w:val="2198E1CB578541CDA2BA2345300DB9F2"/>
        <w:category>
          <w:name w:val="General"/>
          <w:gallery w:val="placeholder"/>
        </w:category>
        <w:types>
          <w:type w:val="bbPlcHdr"/>
        </w:types>
        <w:behaviors>
          <w:behavior w:val="content"/>
        </w:behaviors>
        <w:guid w:val="{1FE6347F-C8C7-426E-988B-F6DED510AE70}"/>
      </w:docPartPr>
      <w:docPartBody>
        <w:p w:rsidR="00CF6DE4" w:rsidRDefault="00F601CF" w:rsidP="00F601CF">
          <w:pPr>
            <w:pStyle w:val="2198E1CB578541CDA2BA2345300DB9F2"/>
          </w:pPr>
          <w:r w:rsidRPr="00364F6B">
            <w:rPr>
              <w:rStyle w:val="PlaceholderText"/>
            </w:rPr>
            <w:t>Click or tap here to enter text.</w:t>
          </w:r>
        </w:p>
      </w:docPartBody>
    </w:docPart>
    <w:docPart>
      <w:docPartPr>
        <w:name w:val="0A994426F6FC49C7B50873E04141ADF3"/>
        <w:category>
          <w:name w:val="General"/>
          <w:gallery w:val="placeholder"/>
        </w:category>
        <w:types>
          <w:type w:val="bbPlcHdr"/>
        </w:types>
        <w:behaviors>
          <w:behavior w:val="content"/>
        </w:behaviors>
        <w:guid w:val="{7A3F1516-DD74-4534-B8C7-C0AC8411B35C}"/>
      </w:docPartPr>
      <w:docPartBody>
        <w:p w:rsidR="00CF6DE4" w:rsidRDefault="00F601CF" w:rsidP="00F601CF">
          <w:pPr>
            <w:pStyle w:val="0A994426F6FC49C7B50873E04141ADF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CF6DE4"/>
    <w:rsid w:val="00F6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1CF"/>
    <w:rPr>
      <w:color w:val="808080"/>
    </w:rPr>
  </w:style>
  <w:style w:type="paragraph" w:customStyle="1" w:styleId="86136ED8C5AB45238B8F55AB75DD2ED4">
    <w:name w:val="86136ED8C5AB45238B8F55AB75DD2ED4"/>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DF2EB671B994EA9B662F1BCF61548AC">
    <w:name w:val="ADF2EB671B994EA9B662F1BCF61548AC"/>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E83888A8C394484AA0A101E345A6311">
    <w:name w:val="6E83888A8C394484AA0A101E345A6311"/>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23E9679E3E482E96CCF638DAEF155B">
    <w:name w:val="DF23E9679E3E482E96CCF638DAEF155B"/>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EF7F3A7A23A4E06A31F4204EBD6519C">
    <w:name w:val="1EF7F3A7A23A4E06A31F4204EBD6519C"/>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3B68441FE9145939D1CCDC176536595">
    <w:name w:val="43B68441FE9145939D1CCDC176536595"/>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7F32C5E6C34178B4F99545FFBC1AA3">
    <w:name w:val="677F32C5E6C34178B4F99545FFBC1AA3"/>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198E1CB578541CDA2BA2345300DB9F2">
    <w:name w:val="2198E1CB578541CDA2BA2345300DB9F2"/>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994426F6FC49C7B50873E04141ADF3">
    <w:name w:val="0A994426F6FC49C7B50873E04141ADF3"/>
    <w:rsid w:val="00F601CF"/>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College Accounting</vt:lpstr>
    </vt:vector>
  </TitlesOfParts>
  <Company>Kansas State Department of Education</Company>
  <LinksUpToDate>false</LinksUpToDate>
  <CharactersWithSpaces>10588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Accounting</dc:title>
  <dc:subject>33109</dc:subject>
  <dc:creator>Cheryl Franklin</dc:creator>
  <cp:keywords/>
  <dc:description>1.0</dc:description>
  <cp:lastModifiedBy>Barbara A. Bahm</cp:lastModifiedBy>
  <cp:revision>2</cp:revision>
  <cp:lastPrinted>2023-05-25T21:45:00Z</cp:lastPrinted>
  <dcterms:created xsi:type="dcterms:W3CDTF">2023-07-26T19:33:00Z</dcterms:created>
  <dcterms:modified xsi:type="dcterms:W3CDTF">2023-07-26T19:33:00Z</dcterms:modified>
  <cp:category/>
</cp:coreProperties>
</file>